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iCs/>
          <w:color w:val="FF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before="0" w:after="0"/>
        <w:jc w:val="center"/>
        <w:rPr>
          <w:rFonts w:ascii="Arial" w:hAnsi="Arial" w:cs="Arial"/>
          <w:b/>
          <w:b/>
          <w:bCs/>
          <w:sz w:val="20"/>
          <w:szCs w:val="20"/>
        </w:rPr>
      </w:pPr>
      <w:r>
        <w:rPr>
          <w:rFonts w:cs="Arial" w:ascii="Arial" w:hAnsi="Arial"/>
          <w:b/>
          <w:bCs/>
          <w:sz w:val="20"/>
          <w:szCs w:val="20"/>
        </w:rPr>
        <w:t>TERMO DE CONTRATO – CONTRATAÇÃO DIRETA (LEI Nº 14.133/21)</w:t>
      </w:r>
    </w:p>
    <w:p>
      <w:pPr>
        <w:pStyle w:val="Normal"/>
        <w:spacing w:before="0" w:after="0"/>
        <w:jc w:val="center"/>
        <w:rPr>
          <w:rFonts w:ascii="Arial" w:hAnsi="Arial" w:cs="Arial"/>
          <w:b/>
          <w:b/>
          <w:bCs/>
          <w:sz w:val="20"/>
          <w:szCs w:val="20"/>
        </w:rPr>
      </w:pPr>
      <w:r>
        <w:rPr>
          <w:rFonts w:cs="Arial" w:ascii="Arial" w:hAnsi="Arial"/>
          <w:b/>
          <w:bCs/>
          <w:sz w:val="20"/>
          <w:szCs w:val="20"/>
        </w:rPr>
        <w:t>PRESTAÇÃO DE SERVIÇOS SEM DEDICAÇÃO EXCLUSIVA DE MÃO DE OBRA</w:t>
      </w:r>
    </w:p>
    <w:p>
      <w:pPr>
        <w:pStyle w:val="Normal"/>
        <w:spacing w:lineRule="auto" w:line="276" w:before="0" w:after="0"/>
        <w:jc w:val="center"/>
        <w:rPr>
          <w:rFonts w:ascii="Arial" w:hAnsi="Arial" w:cs="Arial"/>
          <w:b/>
          <w:b/>
          <w:bCs/>
          <w:iCs/>
          <w:color w:val="FF0000"/>
          <w:sz w:val="20"/>
          <w:szCs w:val="20"/>
        </w:rPr>
      </w:pPr>
      <w:r>
        <w:rPr>
          <w:rFonts w:cs="Arial" w:ascii="Arial" w:hAnsi="Arial"/>
          <w:b/>
          <w:bCs/>
          <w:iCs/>
          <w:color w:val="FF0000"/>
          <w:sz w:val="20"/>
          <w:szCs w:val="20"/>
        </w:rPr>
      </w:r>
    </w:p>
    <w:p>
      <w:pPr>
        <w:pStyle w:val="Normal"/>
        <w:spacing w:lineRule="auto" w:line="360" w:before="0" w:after="120"/>
        <w:ind w:right="-15" w:hanging="0"/>
        <w:jc w:val="both"/>
        <w:rPr/>
      </w:pPr>
      <w:r>
        <w:rPr/>
      </w:r>
    </w:p>
    <w:p>
      <w:pPr>
        <w:pStyle w:val="Normal"/>
        <w:spacing w:lineRule="auto" w:line="360" w:before="0" w:after="120"/>
        <w:ind w:left="4253" w:right="-15" w:hanging="0"/>
        <w:jc w:val="both"/>
        <w:rPr>
          <w:rFonts w:ascii="Arial" w:hAnsi="Arial" w:cs="Arial"/>
          <w:b/>
          <w:b/>
          <w:color w:val="FF0000"/>
          <w:sz w:val="20"/>
          <w:szCs w:val="20"/>
        </w:rPr>
      </w:pPr>
      <w:r>
        <w:rPr>
          <w:rFonts w:cs="Arial" w:ascii="Arial" w:hAnsi="Arial"/>
          <w:b/>
          <w:sz w:val="20"/>
          <w:szCs w:val="20"/>
        </w:rPr>
        <w:t>CONTRATO ADMINISTRATIVO N</w:t>
      </w:r>
      <w:r>
        <w:rPr>
          <w:rFonts w:cs="Arial" w:ascii="Arial" w:hAnsi="Arial"/>
          <w:b/>
          <w:strike/>
          <w:sz w:val="20"/>
          <w:szCs w:val="20"/>
        </w:rPr>
        <w:t>º</w:t>
      </w:r>
      <w:r>
        <w:rPr>
          <w:rFonts w:cs="Arial" w:ascii="Arial" w:hAnsi="Arial"/>
          <w:b/>
          <w:strike w:val="false"/>
          <w:dstrike w:val="false"/>
          <w:sz w:val="20"/>
          <w:szCs w:val="20"/>
        </w:rPr>
        <w:t xml:space="preserve"> 86700/2023-000/00</w:t>
      </w:r>
      <w:r>
        <w:rPr>
          <w:rStyle w:val="Nfaseforte"/>
          <w:rFonts w:eastAsia="Calibri" w:cs="Calibri"/>
          <w:b/>
          <w:bCs/>
          <w:color w:val="000000"/>
          <w:spacing w:val="-1"/>
          <w:sz w:val="24"/>
          <w:szCs w:val="24"/>
          <w:shd w:fill="FFFFFF" w:val="clear"/>
        </w:rPr>
        <w:t xml:space="preserve"> </w:t>
      </w:r>
      <w:r>
        <w:rPr>
          <w:rStyle w:val="Nfaseforte"/>
          <w:rFonts w:eastAsia="Times New Roman" w:cs="Carlito;Calibri" w:ascii="Carlito;Calibri" w:hAnsi="Carlito;Calibri"/>
          <w:b/>
          <w:bCs/>
          <w:i w:val="false"/>
          <w:iCs w:val="false"/>
          <w:smallCaps/>
          <w:strike w:val="false"/>
          <w:dstrike w:val="false"/>
          <w:outline w:val="false"/>
          <w:shadow w:val="false"/>
          <w:color w:val="000000"/>
          <w:spacing w:val="0"/>
          <w:kern w:val="2"/>
          <w:sz w:val="24"/>
          <w:szCs w:val="24"/>
          <w:u w:val="none"/>
          <w:shd w:fill="FFFFFF" w:val="clear"/>
          <w:em w:val="none"/>
          <w:lang w:val="pt-BR" w:eastAsia="zh-CN" w:bidi="ar-SA"/>
        </w:rPr>
        <w:t xml:space="preserve"> </w:t>
      </w:r>
      <w:r>
        <w:rPr>
          <w:rFonts w:cs="Arial" w:ascii="Arial" w:hAnsi="Arial"/>
          <w:b/>
          <w:sz w:val="20"/>
          <w:szCs w:val="20"/>
        </w:rPr>
        <w:t xml:space="preserve">QUE FAZEM ENTRE SI A UNIÃO, POR INTERMÉDIO DO HOSPITAL NAVAL DE LADÁRIO E A EMPRESA </w:t>
      </w:r>
      <w:r>
        <w:rPr>
          <w:rFonts w:cs="Arial" w:ascii="Arial" w:hAnsi="Arial"/>
          <w:b/>
          <w:color w:val="FF0000"/>
          <w:sz w:val="20"/>
          <w:szCs w:val="20"/>
        </w:rPr>
        <w:t xml:space="preserve">.............................................................  </w:t>
      </w:r>
    </w:p>
    <w:p>
      <w:pPr>
        <w:pStyle w:val="Normal"/>
        <w:spacing w:lineRule="auto" w:line="276" w:before="120" w:after="120"/>
        <w:jc w:val="both"/>
        <w:rPr>
          <w:rFonts w:ascii="Arial" w:hAnsi="Arial" w:cs="Arial"/>
          <w:sz w:val="20"/>
          <w:szCs w:val="20"/>
        </w:rPr>
      </w:pPr>
      <w:r>
        <w:rPr>
          <w:rFonts w:cs="Arial" w:ascii="Arial" w:hAnsi="Arial"/>
          <w:i w:val="false"/>
          <w:iCs w:val="false"/>
          <w:color w:val="000000"/>
          <w:sz w:val="20"/>
          <w:szCs w:val="20"/>
        </w:rPr>
        <w:t>A União</w:t>
      </w:r>
      <w:r>
        <w:rPr>
          <w:rFonts w:cs="Arial" w:ascii="Arial" w:hAnsi="Arial"/>
          <w:i/>
          <w:iCs/>
          <w:color w:val="000000"/>
          <w:sz w:val="20"/>
          <w:szCs w:val="20"/>
        </w:rPr>
        <w:t xml:space="preserve"> </w:t>
      </w:r>
      <w:r>
        <w:rPr>
          <w:rFonts w:cs="Arial" w:ascii="Arial" w:hAnsi="Arial"/>
          <w:color w:val="000000"/>
          <w:sz w:val="20"/>
          <w:szCs w:val="20"/>
        </w:rPr>
        <w:t>por intermédio do Hospital Naval de Ladário,</w:t>
      </w:r>
      <w:r>
        <w:rPr>
          <w:rFonts w:cs="Arial" w:ascii="Arial" w:hAnsi="Arial"/>
          <w:sz w:val="20"/>
          <w:szCs w:val="20"/>
        </w:rPr>
        <w:t xml:space="preserve"> com sede na </w:t>
      </w:r>
      <w:r>
        <w:rPr>
          <w:rFonts w:cs="Arial" w:ascii="Arial" w:hAnsi="Arial"/>
          <w:color w:val="000000"/>
          <w:sz w:val="20"/>
          <w:szCs w:val="20"/>
        </w:rPr>
        <w:t>Avenida 14 de março, s/n, CEP 79370-000</w:t>
      </w:r>
      <w:r>
        <w:rPr>
          <w:rFonts w:cs="Arial" w:ascii="Arial" w:hAnsi="Arial"/>
          <w:sz w:val="20"/>
          <w:szCs w:val="20"/>
        </w:rPr>
        <w:t xml:space="preserve">, na cidade de Ladário/MS, inscrito(a) no CNPJ sob o nº 00.394.502/0063-47, neste ato representado pela Sra. </w:t>
      </w:r>
      <w:r>
        <w:rPr>
          <w:rFonts w:cs="Arial" w:ascii="Arial" w:hAnsi="Arial"/>
          <w:b w:val="false"/>
          <w:bCs w:val="false"/>
          <w:sz w:val="20"/>
          <w:szCs w:val="20"/>
        </w:rPr>
        <w:t>Diretora do Hospital Naval de Ladário</w:t>
      </w:r>
      <w:r>
        <w:rPr>
          <w:rFonts w:cs="Arial" w:ascii="Arial" w:hAnsi="Arial"/>
          <w:b/>
          <w:bCs/>
          <w:sz w:val="20"/>
          <w:szCs w:val="20"/>
        </w:rPr>
        <w:t xml:space="preserve">, </w:t>
      </w:r>
      <w:r>
        <w:rPr>
          <w:rStyle w:val="Nfaseforte"/>
          <w:rFonts w:eastAsia="Carlito;Calibri" w:cs="Arial" w:ascii="Arial" w:hAnsi="Arial"/>
          <w:b/>
          <w:bCs/>
          <w:color w:val="000000"/>
          <w:sz w:val="20"/>
          <w:szCs w:val="20"/>
        </w:rPr>
        <w:t>BEATRIZ BRAGA VIEIRA</w:t>
      </w:r>
      <w:r>
        <w:rPr>
          <w:rFonts w:cs="Arial" w:ascii="Arial" w:hAnsi="Arial"/>
          <w:sz w:val="20"/>
          <w:szCs w:val="20"/>
        </w:rPr>
        <w:t xml:space="preserve">, nomeada pela Portaria nº 257/MB/MD, de </w:t>
      </w:r>
      <w:r>
        <w:rPr>
          <w:rFonts w:cs="Arial" w:ascii="Arial" w:hAnsi="Arial"/>
          <w:color w:val="000000"/>
          <w:sz w:val="20"/>
          <w:szCs w:val="20"/>
        </w:rPr>
        <w:t>09 d</w:t>
      </w:r>
      <w:r>
        <w:rPr>
          <w:rFonts w:cs="Arial" w:ascii="Arial" w:hAnsi="Arial"/>
          <w:sz w:val="20"/>
          <w:szCs w:val="20"/>
        </w:rPr>
        <w:t>e setembro de 20</w:t>
      </w:r>
      <w:r>
        <w:rPr>
          <w:rFonts w:cs="Arial" w:ascii="Arial" w:hAnsi="Arial"/>
          <w:color w:val="000000"/>
          <w:sz w:val="20"/>
          <w:szCs w:val="20"/>
        </w:rPr>
        <w:t xml:space="preserve">21, </w:t>
      </w:r>
      <w:r>
        <w:rPr>
          <w:rFonts w:cs="Arial" w:ascii="Arial" w:hAnsi="Arial"/>
          <w:sz w:val="20"/>
          <w:szCs w:val="20"/>
        </w:rPr>
        <w:t>publicada no</w:t>
      </w:r>
      <w:r>
        <w:rPr>
          <w:rFonts w:cs="Arial" w:ascii="Arial" w:hAnsi="Arial"/>
          <w:i/>
          <w:sz w:val="20"/>
          <w:szCs w:val="20"/>
        </w:rPr>
        <w:t xml:space="preserve"> </w:t>
      </w:r>
      <w:r>
        <w:rPr>
          <w:rFonts w:cs="Arial" w:ascii="Arial" w:hAnsi="Arial"/>
          <w:i/>
          <w:iCs/>
          <w:sz w:val="20"/>
          <w:szCs w:val="20"/>
        </w:rPr>
        <w:t>DOU</w:t>
      </w:r>
      <w:r>
        <w:rPr>
          <w:rFonts w:cs="Arial" w:ascii="Arial" w:hAnsi="Arial"/>
          <w:i/>
          <w:sz w:val="20"/>
          <w:szCs w:val="20"/>
        </w:rPr>
        <w:t xml:space="preserve"> </w:t>
      </w:r>
      <w:r>
        <w:rPr>
          <w:rFonts w:cs="Arial" w:ascii="Arial" w:hAnsi="Arial"/>
          <w:sz w:val="20"/>
          <w:szCs w:val="20"/>
        </w:rPr>
        <w:t>de</w:t>
      </w:r>
      <w:r>
        <w:rPr>
          <w:rFonts w:cs="Arial" w:ascii="Arial" w:hAnsi="Arial"/>
          <w:color w:val="000000"/>
          <w:sz w:val="20"/>
          <w:szCs w:val="20"/>
        </w:rPr>
        <w:t xml:space="preserve"> 16 de setembro de 2021,</w:t>
      </w:r>
      <w:r>
        <w:rPr>
          <w:rFonts w:cs="Arial" w:ascii="Arial" w:hAnsi="Arial"/>
          <w:sz w:val="20"/>
          <w:szCs w:val="20"/>
        </w:rPr>
        <w:t xml:space="preserve"> portadora da Matrícula Funcional nº 06.3712.72, doravante denominado CONTRATANTE, e o(a) </w:t>
      </w:r>
      <w:r>
        <w:rPr>
          <w:rFonts w:cs="Arial" w:ascii="Arial" w:hAnsi="Arial"/>
          <w:color w:val="FF0000"/>
          <w:sz w:val="20"/>
          <w:szCs w:val="20"/>
        </w:rPr>
        <w:t>..............................</w:t>
      </w:r>
      <w:r>
        <w:rPr>
          <w:rFonts w:cs="Arial" w:ascii="Arial" w:hAnsi="Arial"/>
          <w:sz w:val="20"/>
          <w:szCs w:val="20"/>
        </w:rPr>
        <w:t xml:space="preserve"> inscrito(a) no CNPJ/MF sob o nº </w:t>
      </w:r>
      <w:r>
        <w:rPr>
          <w:rFonts w:cs="Arial" w:ascii="Arial" w:hAnsi="Arial"/>
          <w:color w:val="FF0000"/>
          <w:sz w:val="20"/>
          <w:szCs w:val="20"/>
        </w:rPr>
        <w:t>............................</w:t>
      </w:r>
      <w:r>
        <w:rPr>
          <w:rFonts w:cs="Arial" w:ascii="Arial" w:hAnsi="Arial"/>
          <w:sz w:val="20"/>
          <w:szCs w:val="20"/>
        </w:rPr>
        <w:t xml:space="preserve">, sediado(a) na </w:t>
      </w:r>
      <w:r>
        <w:rPr>
          <w:rFonts w:cs="Arial" w:ascii="Arial" w:hAnsi="Arial"/>
          <w:color w:val="FF0000"/>
          <w:sz w:val="20"/>
          <w:szCs w:val="20"/>
        </w:rPr>
        <w:t>...................................</w:t>
      </w:r>
      <w:r>
        <w:rPr>
          <w:rFonts w:cs="Arial" w:ascii="Arial" w:hAnsi="Arial"/>
          <w:sz w:val="20"/>
          <w:szCs w:val="20"/>
        </w:rPr>
        <w:t xml:space="preserve">, em </w:t>
      </w:r>
      <w:r>
        <w:rPr>
          <w:rFonts w:cs="Arial" w:ascii="Arial" w:hAnsi="Arial"/>
          <w:color w:val="FF0000"/>
          <w:sz w:val="20"/>
          <w:szCs w:val="20"/>
        </w:rPr>
        <w:t>.............................</w:t>
      </w:r>
      <w:r>
        <w:rPr>
          <w:rFonts w:cs="Arial" w:ascii="Arial" w:hAnsi="Arial"/>
          <w:sz w:val="20"/>
          <w:szCs w:val="20"/>
        </w:rPr>
        <w:t xml:space="preserve"> doravante designado CONTRATADO, neste ato representada por .................................. </w:t>
      </w:r>
      <w:r>
        <w:rPr>
          <w:rFonts w:cs="Arial" w:ascii="Arial" w:hAnsi="Arial"/>
          <w:color w:val="FF0000"/>
          <w:sz w:val="20"/>
          <w:szCs w:val="20"/>
        </w:rPr>
        <w:t>(nome e função no contratado)</w:t>
      </w:r>
      <w:r>
        <w:rPr>
          <w:rFonts w:cs="Arial" w:ascii="Arial" w:hAnsi="Arial"/>
          <w:sz w:val="20"/>
          <w:szCs w:val="20"/>
        </w:rPr>
        <w:t xml:space="preserve">, </w:t>
      </w:r>
      <w:r>
        <w:rPr>
          <w:rFonts w:cs="Arial" w:ascii="Arial" w:hAnsi="Arial"/>
          <w:i/>
          <w:color w:val="FF0000"/>
          <w:sz w:val="20"/>
          <w:szCs w:val="20"/>
        </w:rPr>
        <w:t xml:space="preserve">conforme atos constitutivos da empresa </w:t>
      </w:r>
      <w:r>
        <w:rPr>
          <w:rFonts w:cs="Arial" w:ascii="Arial" w:hAnsi="Arial"/>
          <w:b/>
          <w:i/>
          <w:color w:val="FF0000"/>
          <w:sz w:val="20"/>
          <w:szCs w:val="20"/>
        </w:rPr>
        <w:t>OU</w:t>
      </w:r>
      <w:r>
        <w:rPr>
          <w:rFonts w:cs="Arial" w:ascii="Arial" w:hAnsi="Arial"/>
          <w:i/>
          <w:color w:val="FF0000"/>
          <w:sz w:val="20"/>
          <w:szCs w:val="20"/>
        </w:rPr>
        <w:t xml:space="preserve"> procuração apresentada nos autos, </w:t>
      </w:r>
      <w:r>
        <w:rPr>
          <w:rFonts w:cs="Arial" w:ascii="Arial" w:hAnsi="Arial"/>
          <w:sz w:val="20"/>
          <w:szCs w:val="20"/>
        </w:rPr>
        <w:t>tendo em vista o que consta no Processo nº  63063.005399/2023-03</w:t>
      </w:r>
      <w:r>
        <w:rPr>
          <w:rStyle w:val="Nfaseforte"/>
          <w:rFonts w:eastAsia="Times New Roman" w:cs="Arial" w:ascii="Arial" w:hAnsi="Arial"/>
          <w:b w:val="false"/>
          <w:bCs w:val="false"/>
          <w:i w:val="false"/>
          <w:iCs w:val="false"/>
          <w:smallCaps/>
          <w:strike w:val="false"/>
          <w:dstrike w:val="false"/>
          <w:outline w:val="false"/>
          <w:shadow w:val="false"/>
          <w:color w:val="000000"/>
          <w:spacing w:val="0"/>
          <w:kern w:val="2"/>
          <w:sz w:val="20"/>
          <w:szCs w:val="20"/>
          <w:u w:val="none"/>
          <w:shd w:fill="FFFFFF" w:val="clear"/>
          <w:em w:val="none"/>
          <w:lang w:val="pt-BR" w:eastAsia="zh-CN" w:bidi="ar-SA"/>
        </w:rPr>
        <w:t xml:space="preserve"> </w:t>
      </w:r>
      <w:r>
        <w:rPr>
          <w:rFonts w:cs="Arial" w:ascii="Arial" w:hAnsi="Arial"/>
          <w:sz w:val="20"/>
          <w:szCs w:val="20"/>
        </w:rPr>
        <w:t>e em observância às disposições da Lei nº 14.133, de 2021 e da Instrução Normativa SEGES/ME nº 75, de 2021, resolvem celebrar o presente Termo de Contrato, decorrente</w:t>
      </w:r>
      <w:r>
        <w:rPr>
          <w:rFonts w:cs="Arial" w:ascii="Arial" w:hAnsi="Arial"/>
          <w:i/>
          <w:iCs/>
          <w:color w:val="000000"/>
          <w:sz w:val="20"/>
          <w:szCs w:val="20"/>
        </w:rPr>
        <w:t xml:space="preserve"> da Dispensa Eletrônica 4</w:t>
      </w:r>
      <w:r>
        <w:rPr>
          <w:rFonts w:cs="Arial" w:ascii="Arial" w:hAnsi="Arial"/>
          <w:i/>
          <w:iCs/>
          <w:color w:val="000000"/>
          <w:sz w:val="20"/>
          <w:szCs w:val="20"/>
        </w:rPr>
        <w:t>8</w:t>
      </w:r>
      <w:r>
        <w:rPr>
          <w:rFonts w:cs="Arial" w:ascii="Arial" w:hAnsi="Arial"/>
          <w:i/>
          <w:iCs/>
          <w:color w:val="000000"/>
          <w:sz w:val="20"/>
          <w:szCs w:val="20"/>
        </w:rPr>
        <w:t>2023</w:t>
      </w:r>
      <w:r>
        <w:rPr>
          <w:rFonts w:cs="Arial" w:ascii="Arial" w:hAnsi="Arial"/>
          <w:color w:val="000000"/>
          <w:sz w:val="20"/>
          <w:szCs w:val="20"/>
        </w:rPr>
        <w:t>,</w:t>
      </w:r>
      <w:r>
        <w:rPr>
          <w:rFonts w:cs="Arial" w:ascii="Arial" w:hAnsi="Arial"/>
          <w:sz w:val="20"/>
          <w:szCs w:val="20"/>
        </w:rPr>
        <w:t xml:space="preserve"> mediante as cláusulas e condições a seguir enunciadas.</w:t>
      </w:r>
    </w:p>
    <w:p>
      <w:pPr>
        <w:pStyle w:val="Nivel01Titulo"/>
        <w:numPr>
          <w:ilvl w:val="0"/>
          <w:numId w:val="1"/>
        </w:numPr>
        <w:rPr>
          <w:rFonts w:cs="Arial"/>
        </w:rPr>
      </w:pPr>
      <w:r>
        <w:rPr>
          <w:rFonts w:cs="Arial"/>
        </w:rPr>
        <w:t>CLÁUSULA PRIMEIRA – OBJETO (art. 92, I e II)</w:t>
      </w:r>
    </w:p>
    <w:p>
      <w:pPr>
        <w:pStyle w:val="Normal"/>
        <w:numPr>
          <w:ilvl w:val="1"/>
          <w:numId w:val="1"/>
        </w:numPr>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O objeto do presente instrumento é a contratação de Serviço de Outsourcing de Impressão,</w:t>
      </w:r>
      <w:r>
        <w:rPr>
          <w:rStyle w:val="Fontepargpadro"/>
          <w:rFonts w:cs="Times New Roman" w:ascii="Arial" w:hAnsi="Arial"/>
          <w:b w:val="false"/>
          <w:bCs w:val="false"/>
          <w:i w:val="false"/>
          <w:iCs/>
          <w:color w:val="000000"/>
          <w:spacing w:val="32"/>
          <w:kern w:val="2"/>
          <w:sz w:val="20"/>
          <w:szCs w:val="20"/>
          <w:u w:val="none"/>
          <w:shd w:fill="auto" w:val="clear"/>
          <w:lang w:val="pt-PT"/>
        </w:rPr>
        <w:t xml:space="preserve"> </w:t>
      </w:r>
      <w:r>
        <w:rPr>
          <w:rStyle w:val="Fontepargpadro"/>
          <w:rFonts w:cs="Times New Roman" w:ascii="Arial" w:hAnsi="Arial"/>
          <w:b w:val="false"/>
          <w:bCs w:val="false"/>
          <w:i w:val="false"/>
          <w:iCs/>
          <w:color w:val="000000"/>
          <w:spacing w:val="-1"/>
          <w:kern w:val="2"/>
          <w:sz w:val="20"/>
          <w:szCs w:val="20"/>
          <w:u w:val="none"/>
          <w:shd w:fill="auto" w:val="clear"/>
          <w:lang w:val="pt-PT"/>
        </w:rPr>
        <w:t>para</w:t>
      </w:r>
      <w:r>
        <w:rPr>
          <w:rStyle w:val="Fontepargpadro"/>
          <w:rFonts w:cs="Times New Roman" w:ascii="Arial" w:hAnsi="Arial"/>
          <w:b w:val="false"/>
          <w:bCs w:val="false"/>
          <w:i w:val="false"/>
          <w:iCs/>
          <w:color w:val="000000"/>
          <w:spacing w:val="-7"/>
          <w:kern w:val="2"/>
          <w:sz w:val="20"/>
          <w:szCs w:val="20"/>
          <w:u w:val="none"/>
          <w:shd w:fill="auto" w:val="clear"/>
          <w:lang w:val="pt-PT"/>
        </w:rPr>
        <w:t xml:space="preserve"> </w:t>
      </w:r>
      <w:r>
        <w:rPr>
          <w:rStyle w:val="Fontepargpadro"/>
          <w:rFonts w:cs="Times New Roman" w:ascii="Arial" w:hAnsi="Arial"/>
          <w:b w:val="false"/>
          <w:bCs w:val="false"/>
          <w:i w:val="false"/>
          <w:iCs/>
          <w:color w:val="000000"/>
          <w:spacing w:val="-1"/>
          <w:kern w:val="2"/>
          <w:sz w:val="20"/>
          <w:szCs w:val="20"/>
          <w:u w:val="none"/>
          <w:shd w:fill="auto" w:val="clear"/>
          <w:lang w:val="pt-PT"/>
        </w:rPr>
        <w:t>emprego</w:t>
      </w:r>
      <w:r>
        <w:rPr>
          <w:rFonts w:cs="Arial" w:ascii="Arial" w:hAnsi="Arial"/>
          <w:color w:val="000000"/>
          <w:sz w:val="20"/>
          <w:szCs w:val="20"/>
        </w:rPr>
        <w:t>, nas condições estabelecidas no Termo de Referência.</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Objeto da contratação:</w:t>
      </w:r>
    </w:p>
    <w:p>
      <w:pPr>
        <w:pStyle w:val="Normal"/>
        <w:spacing w:lineRule="auto" w:line="276" w:before="0" w:after="120"/>
        <w:jc w:val="both"/>
        <w:rPr>
          <w:rFonts w:ascii="Arial" w:hAnsi="Arial" w:cs="Arial"/>
          <w:color w:val="FF0000"/>
          <w:sz w:val="20"/>
          <w:szCs w:val="20"/>
        </w:rPr>
      </w:pPr>
      <w:r>
        <w:rPr>
          <w:rFonts w:cs="Arial" w:ascii="Arial" w:hAnsi="Arial"/>
          <w:color w:val="FF0000"/>
          <w:sz w:val="20"/>
          <w:szCs w:val="20"/>
        </w:rPr>
      </w:r>
    </w:p>
    <w:tbl>
      <w:tblPr>
        <w:tblW w:w="8955" w:type="dxa"/>
        <w:jc w:val="left"/>
        <w:tblInd w:w="142" w:type="dxa"/>
        <w:tblCellMar>
          <w:top w:w="0" w:type="dxa"/>
          <w:left w:w="108" w:type="dxa"/>
          <w:bottom w:w="0" w:type="dxa"/>
          <w:right w:w="108" w:type="dxa"/>
        </w:tblCellMar>
      </w:tblPr>
      <w:tblGrid>
        <w:gridCol w:w="734"/>
        <w:gridCol w:w="971"/>
        <w:gridCol w:w="3515"/>
        <w:gridCol w:w="735"/>
        <w:gridCol w:w="855"/>
        <w:gridCol w:w="2144"/>
      </w:tblGrid>
      <w:tr>
        <w:trPr/>
        <w:tc>
          <w:tcPr>
            <w:tcW w:w="734"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Carlito" w:hAnsi="Carlito" w:cs="Arial"/>
                <w:b/>
                <w:b/>
                <w:bCs/>
                <w:color w:val="000000"/>
                <w:sz w:val="22"/>
                <w:szCs w:val="22"/>
              </w:rPr>
            </w:pPr>
            <w:r>
              <w:rPr>
                <w:rFonts w:cs="Arial" w:ascii="Carlito" w:hAnsi="Carlito"/>
                <w:b/>
                <w:bCs/>
                <w:color w:val="000000"/>
                <w:sz w:val="22"/>
                <w:szCs w:val="22"/>
              </w:rPr>
              <w:t>ITEM</w:t>
            </w:r>
          </w:p>
          <w:p>
            <w:pPr>
              <w:pStyle w:val="Normal"/>
              <w:widowControl w:val="false"/>
              <w:spacing w:lineRule="auto" w:line="276" w:before="0" w:after="160"/>
              <w:jc w:val="center"/>
              <w:rPr>
                <w:rFonts w:ascii="Carlito" w:hAnsi="Carlito" w:cs="Arial"/>
                <w:b/>
                <w:b/>
                <w:color w:val="000000"/>
                <w:sz w:val="22"/>
                <w:szCs w:val="22"/>
              </w:rPr>
            </w:pPr>
            <w:r>
              <w:rPr>
                <w:rFonts w:cs="Arial" w:ascii="Carlito" w:hAnsi="Carlito"/>
                <w:b/>
                <w:color w:val="000000"/>
                <w:sz w:val="22"/>
                <w:szCs w:val="22"/>
              </w:rPr>
            </w:r>
          </w:p>
        </w:tc>
        <w:tc>
          <w:tcPr>
            <w:tcW w:w="9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rFonts w:ascii="Carlito" w:hAnsi="Carlito"/>
                <w:b/>
                <w:b/>
                <w:bCs/>
                <w:sz w:val="22"/>
                <w:szCs w:val="22"/>
              </w:rPr>
            </w:pPr>
            <w:r>
              <w:rPr>
                <w:rFonts w:ascii="Carlito" w:hAnsi="Carlito"/>
                <w:b/>
                <w:bCs/>
                <w:sz w:val="22"/>
                <w:szCs w:val="22"/>
              </w:rPr>
              <w:t>CATSER</w:t>
            </w:r>
          </w:p>
        </w:tc>
        <w:tc>
          <w:tcPr>
            <w:tcW w:w="3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rFonts w:ascii="Carlito" w:hAnsi="Carlito" w:cs="Arial"/>
                <w:b/>
                <w:b/>
                <w:bCs/>
                <w:color w:val="000000"/>
                <w:sz w:val="22"/>
                <w:szCs w:val="22"/>
              </w:rPr>
            </w:pPr>
            <w:r>
              <w:rPr>
                <w:rFonts w:cs="Arial" w:ascii="Carlito" w:hAnsi="Carlito"/>
                <w:b/>
                <w:bCs/>
                <w:color w:val="000000"/>
                <w:sz w:val="22"/>
                <w:szCs w:val="22"/>
              </w:rPr>
              <w:t>ESPECIFICAÇÃO</w:t>
            </w:r>
          </w:p>
        </w:tc>
        <w:tc>
          <w:tcPr>
            <w:tcW w:w="7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rFonts w:ascii="Carlito" w:hAnsi="Carlito" w:cs="Arial"/>
                <w:b/>
                <w:b/>
                <w:bCs/>
                <w:color w:val="000000"/>
                <w:sz w:val="22"/>
                <w:szCs w:val="22"/>
              </w:rPr>
            </w:pPr>
            <w:r>
              <w:rPr>
                <w:rFonts w:cs="Arial" w:ascii="Carlito" w:hAnsi="Carlito"/>
                <w:b/>
                <w:bCs/>
                <w:color w:val="000000"/>
                <w:sz w:val="22"/>
                <w:szCs w:val="22"/>
              </w:rPr>
              <w:t>QNT</w:t>
            </w:r>
          </w:p>
        </w:tc>
        <w:tc>
          <w:tcPr>
            <w:tcW w:w="855" w:type="dxa"/>
            <w:tcBorders>
              <w:top w:val="single" w:sz="4" w:space="0" w:color="000000"/>
              <w:left w:val="single" w:sz="4" w:space="0" w:color="000000"/>
              <w:bottom w:val="single" w:sz="4" w:space="0" w:color="000000"/>
            </w:tcBorders>
          </w:tcPr>
          <w:p>
            <w:pPr>
              <w:pStyle w:val="Normal"/>
              <w:widowControl w:val="false"/>
              <w:spacing w:lineRule="auto" w:line="276" w:before="0" w:after="160"/>
              <w:jc w:val="center"/>
              <w:rPr>
                <w:rFonts w:ascii="Carlito" w:hAnsi="Carlito" w:cs="Arial"/>
                <w:b/>
                <w:b/>
                <w:bCs/>
                <w:color w:val="000000"/>
                <w:sz w:val="22"/>
                <w:szCs w:val="22"/>
              </w:rPr>
            </w:pPr>
            <w:r>
              <w:rPr>
                <w:rFonts w:cs="Arial" w:ascii="Carlito" w:hAnsi="Carlito"/>
                <w:b/>
                <w:bCs/>
                <w:color w:val="000000"/>
                <w:sz w:val="22"/>
                <w:szCs w:val="22"/>
              </w:rPr>
              <w:t>UF</w:t>
            </w:r>
          </w:p>
        </w:tc>
        <w:tc>
          <w:tcPr>
            <w:tcW w:w="21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rFonts w:ascii="Carlito" w:hAnsi="Carlito" w:cs="Arial"/>
                <w:b/>
                <w:b/>
                <w:bCs/>
                <w:sz w:val="22"/>
                <w:szCs w:val="22"/>
              </w:rPr>
            </w:pPr>
            <w:r>
              <w:rPr>
                <w:rFonts w:cs="Arial" w:ascii="Carlito" w:hAnsi="Carlito"/>
                <w:b/>
                <w:bCs/>
                <w:sz w:val="22"/>
                <w:szCs w:val="22"/>
              </w:rPr>
              <w:t>VALOR TOTAL</w:t>
            </w:r>
          </w:p>
        </w:tc>
      </w:tr>
      <w:tr>
        <w:trPr/>
        <w:tc>
          <w:tcPr>
            <w:tcW w:w="734" w:type="dxa"/>
            <w:tcBorders>
              <w:top w:val="single" w:sz="4" w:space="0" w:color="000000"/>
              <w:left w:val="single" w:sz="4" w:space="0" w:color="000000"/>
              <w:bottom w:val="single" w:sz="4" w:space="0" w:color="000000"/>
            </w:tcBorders>
          </w:tcPr>
          <w:p>
            <w:pPr>
              <w:pStyle w:val="Normal"/>
              <w:widowControl w:val="false"/>
              <w:spacing w:lineRule="auto" w:line="276" w:before="0" w:after="160"/>
              <w:jc w:val="center"/>
              <w:rPr>
                <w:rFonts w:ascii="Carlito" w:hAnsi="Carlito" w:cs="Arial"/>
                <w:b/>
                <w:b/>
                <w:color w:val="000000"/>
                <w:sz w:val="22"/>
                <w:szCs w:val="22"/>
              </w:rPr>
            </w:pPr>
            <w:r>
              <w:rPr>
                <w:rFonts w:cs="Arial" w:ascii="Carlito" w:hAnsi="Carlito"/>
                <w:b/>
                <w:color w:val="000000"/>
                <w:sz w:val="22"/>
                <w:szCs w:val="22"/>
              </w:rPr>
              <w:t>1</w:t>
            </w:r>
          </w:p>
        </w:tc>
        <w:tc>
          <w:tcPr>
            <w:tcW w:w="971"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276" w:before="0" w:after="160"/>
              <w:jc w:val="center"/>
              <w:rPr>
                <w:rFonts w:ascii="Carlito" w:hAnsi="Carlito"/>
                <w:b w:val="false"/>
                <w:b w:val="false"/>
                <w:i w:val="false"/>
                <w:i w:val="false"/>
                <w:strike w:val="false"/>
                <w:dstrike w:val="false"/>
                <w:outline w:val="false"/>
                <w:shadow w:val="false"/>
                <w:sz w:val="22"/>
                <w:szCs w:val="22"/>
                <w:u w:val="none"/>
                <w:em w:val="none"/>
              </w:rPr>
            </w:pPr>
            <w:r>
              <w:rPr>
                <w:rFonts w:ascii="Carlito" w:hAnsi="Carlito"/>
                <w:b w:val="false"/>
                <w:i w:val="false"/>
                <w:strike w:val="false"/>
                <w:dstrike w:val="false"/>
                <w:outline w:val="false"/>
                <w:shadow w:val="false"/>
                <w:sz w:val="22"/>
                <w:szCs w:val="22"/>
                <w:u w:val="none"/>
                <w:em w:val="none"/>
              </w:rPr>
            </w:r>
          </w:p>
        </w:tc>
        <w:tc>
          <w:tcPr>
            <w:tcW w:w="3515" w:type="dxa"/>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Carlito" w:hAnsi="Carlito"/>
                <w:sz w:val="22"/>
                <w:szCs w:val="22"/>
              </w:rPr>
            </w:pPr>
            <w:r>
              <w:rPr>
                <w:rFonts w:ascii="Carlito" w:hAnsi="Carlito"/>
                <w:sz w:val="22"/>
                <w:szCs w:val="22"/>
              </w:rPr>
              <w:t>Serviço mensal de outsourcing de impressão, com fornecimento de Impressora Laser Colorida com franquia mensal de 3.000 (trê mil) páginas.</w:t>
            </w:r>
          </w:p>
        </w:tc>
        <w:tc>
          <w:tcPr>
            <w:tcW w:w="7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rFonts w:ascii="Carlito" w:hAnsi="Carlito" w:cs="Arial"/>
                <w:b w:val="false"/>
                <w:b w:val="false"/>
                <w:bCs w:val="false"/>
                <w:color w:val="000000"/>
                <w:sz w:val="22"/>
                <w:szCs w:val="22"/>
              </w:rPr>
            </w:pPr>
            <w:r>
              <w:rPr>
                <w:rFonts w:cs="Arial" w:ascii="Carlito" w:hAnsi="Carlito"/>
                <w:b w:val="false"/>
                <w:bCs w:val="false"/>
                <w:color w:val="000000"/>
                <w:sz w:val="22"/>
                <w:szCs w:val="22"/>
              </w:rPr>
              <w:t>12</w:t>
            </w:r>
          </w:p>
        </w:tc>
        <w:tc>
          <w:tcPr>
            <w:tcW w:w="855" w:type="dxa"/>
            <w:tcBorders>
              <w:top w:val="single" w:sz="4" w:space="0" w:color="000000"/>
              <w:left w:val="single" w:sz="4" w:space="0" w:color="000000"/>
              <w:bottom w:val="single" w:sz="4" w:space="0" w:color="000000"/>
            </w:tcBorders>
          </w:tcPr>
          <w:p>
            <w:pPr>
              <w:pStyle w:val="Normal"/>
              <w:widowControl w:val="false"/>
              <w:spacing w:lineRule="auto" w:line="276" w:before="0" w:after="160"/>
              <w:jc w:val="center"/>
              <w:rPr>
                <w:rFonts w:ascii="Carlito" w:hAnsi="Carlito" w:cs="Arial"/>
                <w:color w:val="000000"/>
                <w:sz w:val="22"/>
                <w:szCs w:val="22"/>
              </w:rPr>
            </w:pPr>
            <w:r>
              <w:rPr>
                <w:rFonts w:cs="Arial" w:ascii="Carlito" w:hAnsi="Carlito"/>
                <w:color w:val="000000"/>
                <w:sz w:val="22"/>
                <w:szCs w:val="22"/>
              </w:rPr>
              <w:t>SVC</w:t>
            </w:r>
          </w:p>
        </w:tc>
        <w:tc>
          <w:tcPr>
            <w:tcW w:w="21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60"/>
              <w:jc w:val="center"/>
              <w:rPr>
                <w:rFonts w:ascii="Carlito" w:hAnsi="Carlito" w:cs="Arial"/>
                <w:color w:val="000000"/>
                <w:sz w:val="22"/>
                <w:szCs w:val="22"/>
              </w:rPr>
            </w:pPr>
            <w:r>
              <w:rPr>
                <w:rFonts w:cs="Arial" w:ascii="Carlito" w:hAnsi="Carlito"/>
                <w:color w:val="000000"/>
                <w:sz w:val="22"/>
                <w:szCs w:val="22"/>
              </w:rPr>
            </w:r>
          </w:p>
        </w:tc>
      </w:tr>
    </w:tbl>
    <w:p>
      <w:pPr>
        <w:pStyle w:val="Normal"/>
        <w:rPr/>
      </w:pPr>
      <w:r>
        <w:rPr/>
      </w:r>
    </w:p>
    <w:p>
      <w:pPr>
        <w:pStyle w:val="Normal"/>
        <w:numPr>
          <w:ilvl w:val="1"/>
          <w:numId w:val="1"/>
        </w:numPr>
        <w:spacing w:lineRule="auto" w:line="276" w:before="120" w:after="120"/>
        <w:ind w:left="425" w:hanging="0"/>
        <w:jc w:val="both"/>
        <w:rPr>
          <w:rFonts w:ascii="Arial" w:hAnsi="Arial" w:cs="Arial"/>
          <w:sz w:val="20"/>
          <w:szCs w:val="20"/>
          <w:lang w:val="x-none"/>
        </w:rPr>
      </w:pPr>
      <w:r>
        <w:rPr>
          <w:rFonts w:cs="Arial" w:ascii="Arial" w:hAnsi="Arial"/>
          <w:sz w:val="20"/>
          <w:szCs w:val="20"/>
        </w:rPr>
        <w:t>São anexos a este instrumento e vinculam esta contratação, independentemente de transcrição: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O Termo de Referência que embasou a contratação;</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 xml:space="preserve">O Edital de Licitação, a Autorização de Contratação Direta e/ou o Aviso de Dispensa Eletrônica, caso existentes; </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A Proposta do Contratado; e</w:t>
      </w:r>
    </w:p>
    <w:p>
      <w:pPr>
        <w:pStyle w:val="Normal"/>
        <w:numPr>
          <w:ilvl w:val="2"/>
          <w:numId w:val="1"/>
        </w:numPr>
        <w:spacing w:lineRule="auto" w:line="276" w:before="120" w:after="120"/>
        <w:jc w:val="both"/>
        <w:rPr>
          <w:rFonts w:ascii="Arial" w:hAnsi="Arial" w:cs="Arial"/>
          <w:sz w:val="20"/>
          <w:szCs w:val="20"/>
          <w:lang w:val="x-none"/>
        </w:rPr>
      </w:pPr>
      <w:r>
        <w:rPr>
          <w:rFonts w:cs="Arial" w:ascii="Arial" w:hAnsi="Arial"/>
          <w:sz w:val="20"/>
          <w:szCs w:val="20"/>
        </w:rPr>
        <w:t>Eventuais anexos dos documentos supracitados.</w:t>
      </w:r>
    </w:p>
    <w:p>
      <w:pPr>
        <w:pStyle w:val="Nivel01Titulo"/>
        <w:numPr>
          <w:ilvl w:val="0"/>
          <w:numId w:val="1"/>
        </w:numPr>
        <w:rPr>
          <w:rFonts w:cs="Arial"/>
        </w:rPr>
      </w:pPr>
      <w:r>
        <w:rPr>
          <w:rFonts w:cs="Arial"/>
        </w:rPr>
        <w:t>CLÁUSULA SEGUNDA – VIGÊNCIA E PRORROGAÇÃO.</w:t>
      </w:r>
    </w:p>
    <w:p>
      <w:pPr>
        <w:pStyle w:val="Normal"/>
        <w:numPr>
          <w:ilvl w:val="1"/>
          <w:numId w:val="1"/>
        </w:numPr>
        <w:spacing w:lineRule="auto" w:line="276" w:before="120" w:after="120"/>
        <w:ind w:left="425" w:hanging="0"/>
        <w:jc w:val="both"/>
        <w:rPr>
          <w:rFonts w:ascii="Arial" w:hAnsi="Arial"/>
          <w:sz w:val="20"/>
          <w:szCs w:val="20"/>
        </w:rPr>
      </w:pPr>
      <w:r>
        <w:rPr>
          <w:rFonts w:ascii="Arial" w:hAnsi="Arial"/>
          <w:sz w:val="20"/>
          <w:szCs w:val="20"/>
        </w:rPr>
        <w:t>O prazo de vigência da contratação é de 12 (DOZE) meses,  a partir da assinatura do Termo de Contrato ou instrumento equivalente, na forma do artigo 105 da Lei 14.133/2021.</w:t>
      </w:r>
    </w:p>
    <w:p>
      <w:pPr>
        <w:pStyle w:val="Normal"/>
        <w:numPr>
          <w:ilvl w:val="1"/>
          <w:numId w:val="1"/>
        </w:numPr>
        <w:spacing w:lineRule="auto" w:line="276" w:before="120" w:after="120"/>
        <w:jc w:val="both"/>
        <w:rPr>
          <w:rFonts w:ascii="Arial" w:hAnsi="Arial" w:cs="Arial"/>
          <w:sz w:val="20"/>
          <w:szCs w:val="20"/>
        </w:rPr>
      </w:pPr>
      <w:r>
        <w:rPr>
          <w:rFonts w:cs="Arial" w:ascii="Arial" w:hAnsi="Arial"/>
          <w:sz w:val="20"/>
          <w:szCs w:val="20"/>
        </w:rPr>
        <w:t>O regime de execução contratual, o modelo de gestão, assim como os prazos e condições de</w:t>
      </w:r>
      <w:r>
        <w:rPr>
          <w:rFonts w:cs="Arial" w:ascii="Arial" w:hAnsi="Arial"/>
          <w:color w:val="000000"/>
          <w:sz w:val="20"/>
          <w:szCs w:val="20"/>
        </w:rPr>
        <w:t xml:space="preserve"> conclusão, entrega, observação e recebimento definitivo</w:t>
      </w:r>
      <w:r>
        <w:rPr>
          <w:rFonts w:cs="Arial" w:ascii="Arial" w:hAnsi="Arial"/>
          <w:sz w:val="20"/>
          <w:szCs w:val="20"/>
        </w:rPr>
        <w:t xml:space="preserve"> constam no Termo de Referência, anexo a este Contrato.</w:t>
      </w:r>
    </w:p>
    <w:p>
      <w:pPr>
        <w:pStyle w:val="Nivel01Titulo"/>
        <w:numPr>
          <w:ilvl w:val="0"/>
          <w:numId w:val="1"/>
        </w:numPr>
        <w:rPr>
          <w:rFonts w:cs="Arial"/>
        </w:rPr>
      </w:pPr>
      <w:r>
        <w:rPr>
          <w:rFonts w:cs="Arial"/>
        </w:rPr>
        <w:t xml:space="preserve">CLÁUSULA QUARTA - SUBCONTRATAÇÃO </w:t>
      </w:r>
    </w:p>
    <w:p>
      <w:pPr>
        <w:pStyle w:val="Normal"/>
        <w:numPr>
          <w:ilvl w:val="1"/>
          <w:numId w:val="1"/>
        </w:numPr>
        <w:spacing w:lineRule="auto" w:line="276" w:before="120" w:after="120"/>
        <w:jc w:val="both"/>
        <w:rPr/>
      </w:pPr>
      <w:r>
        <w:rPr>
          <w:rFonts w:cs="Arial" w:ascii="Arial" w:hAnsi="Arial"/>
          <w:i/>
          <w:color w:val="000000"/>
          <w:sz w:val="20"/>
          <w:szCs w:val="20"/>
        </w:rPr>
        <w:t>Não será admitida a subcontratação do objeto contratual.</w:t>
      </w:r>
    </w:p>
    <w:p>
      <w:pPr>
        <w:pStyle w:val="Nivel01Titulo"/>
        <w:numPr>
          <w:ilvl w:val="0"/>
          <w:numId w:val="1"/>
        </w:numPr>
        <w:rPr>
          <w:rFonts w:cs="Arial"/>
        </w:rPr>
      </w:pPr>
      <w:r>
        <w:rPr>
          <w:rFonts w:cs="Arial"/>
        </w:rPr>
        <w:t>CLÁUSULA QUINTA – PAGAMENTO (art. 92, V e VI)</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PREÇO</w:t>
      </w:r>
    </w:p>
    <w:p>
      <w:pPr>
        <w:pStyle w:val="Normal"/>
        <w:numPr>
          <w:ilvl w:val="2"/>
          <w:numId w:val="54"/>
        </w:numPr>
        <w:spacing w:lineRule="auto" w:line="276" w:before="120" w:after="120"/>
        <w:ind w:left="284" w:hanging="0"/>
        <w:jc w:val="both"/>
        <w:rPr>
          <w:color w:val="000000"/>
        </w:rPr>
      </w:pPr>
      <w:r>
        <w:rPr>
          <w:rFonts w:cs="Arial" w:ascii="Arial" w:hAnsi="Arial"/>
          <w:bCs/>
          <w:i/>
          <w:color w:val="000000"/>
          <w:sz w:val="20"/>
          <w:szCs w:val="20"/>
        </w:rPr>
        <w:t>O valor total estimado da contrataçã</w:t>
      </w:r>
      <w:r>
        <w:rPr>
          <w:rFonts w:cs="Arial" w:ascii="Arial" w:hAnsi="Arial"/>
          <w:bCs/>
          <w:i/>
          <w:color w:val="auto"/>
          <w:sz w:val="20"/>
          <w:szCs w:val="20"/>
        </w:rPr>
        <w:t xml:space="preserve">o é de </w:t>
      </w:r>
      <w:r>
        <w:rPr>
          <w:rFonts w:cs="Arial" w:ascii="Arial" w:hAnsi="Arial"/>
          <w:b w:val="false"/>
          <w:bCs w:val="false"/>
          <w:i w:val="false"/>
          <w:strike w:val="false"/>
          <w:dstrike w:val="false"/>
          <w:outline w:val="false"/>
          <w:shadow w:val="false"/>
          <w:color w:val="auto"/>
          <w:sz w:val="20"/>
          <w:szCs w:val="20"/>
          <w:u w:val="none"/>
          <w:shd w:fill="auto" w:val="clear"/>
          <w:em w:val="none"/>
        </w:rPr>
        <w:t>R$ 6.660,00.</w:t>
      </w:r>
    </w:p>
    <w:p>
      <w:pPr>
        <w:pStyle w:val="Normal"/>
        <w:numPr>
          <w:ilvl w:val="2"/>
          <w:numId w:val="1"/>
        </w:numPr>
        <w:spacing w:lineRule="auto" w:line="276" w:before="120" w:after="120"/>
        <w:ind w:left="284" w:hanging="0"/>
        <w:jc w:val="both"/>
        <w:rPr>
          <w:rFonts w:ascii="Arial" w:hAnsi="Arial" w:cs="Arial"/>
          <w:sz w:val="20"/>
          <w:szCs w:val="20"/>
        </w:rPr>
      </w:pPr>
      <w:r>
        <w:rPr>
          <w:rFonts w:cs="Arial" w:ascii="Arial" w:hAnsi="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FORMA DE PAGAMENTO</w:t>
      </w:r>
    </w:p>
    <w:p>
      <w:pPr>
        <w:pStyle w:val="Normal"/>
        <w:numPr>
          <w:ilvl w:val="2"/>
          <w:numId w:val="55"/>
        </w:numPr>
        <w:spacing w:lineRule="auto" w:line="276" w:before="120" w:after="120"/>
        <w:ind w:left="284" w:hanging="0"/>
        <w:jc w:val="both"/>
        <w:rPr>
          <w:color w:val="000000"/>
        </w:rPr>
      </w:pPr>
      <w:r>
        <w:rPr>
          <w:rFonts w:cs="Arial" w:ascii="Arial" w:hAnsi="Arial"/>
          <w:i/>
          <w:color w:val="000000"/>
          <w:sz w:val="20"/>
          <w:szCs w:val="20"/>
        </w:rPr>
        <w:t>O pagamento será realizado através de ordem bancária, para crédito em banco, agência e conta corrente indicados pelo contratado.</w:t>
      </w:r>
    </w:p>
    <w:p>
      <w:pPr>
        <w:pStyle w:val="Normal"/>
        <w:numPr>
          <w:ilvl w:val="2"/>
          <w:numId w:val="56"/>
        </w:numPr>
        <w:spacing w:lineRule="auto" w:line="276" w:before="120" w:after="120"/>
        <w:ind w:left="284" w:hanging="0"/>
        <w:jc w:val="both"/>
        <w:rPr>
          <w:color w:val="000000"/>
        </w:rPr>
      </w:pPr>
      <w:r>
        <w:rPr>
          <w:rFonts w:cs="Arial" w:ascii="Arial" w:hAnsi="Arial"/>
          <w:i/>
          <w:color w:val="000000"/>
          <w:sz w:val="20"/>
          <w:szCs w:val="20"/>
        </w:rPr>
        <w:t>Será considerada data do pagamento o dia em que constar como emitida a ordem bancária para pagamento.</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PRAZO DE PAGAMENTO</w:t>
      </w:r>
    </w:p>
    <w:p>
      <w:pPr>
        <w:pStyle w:val="Normal"/>
        <w:numPr>
          <w:ilvl w:val="2"/>
          <w:numId w:val="57"/>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O </w:t>
      </w:r>
      <w:r>
        <w:rPr>
          <w:rFonts w:cs="Arial" w:ascii="Arial" w:hAnsi="Arial"/>
          <w:sz w:val="20"/>
          <w:szCs w:val="20"/>
        </w:rPr>
        <w:t>pagamento</w:t>
      </w:r>
      <w:r>
        <w:rPr>
          <w:rFonts w:cs="Arial" w:ascii="Arial" w:hAnsi="Arial"/>
          <w:color w:val="000000" w:themeColor="text1"/>
          <w:sz w:val="20"/>
          <w:szCs w:val="20"/>
        </w:rPr>
        <w:t xml:space="preserve"> será efetuado no prazo máximo de</w:t>
      </w:r>
      <w:r>
        <w:rPr>
          <w:rFonts w:eastAsia="Arial" w:cs="Arial" w:ascii="Arial" w:hAnsi="Arial"/>
          <w:color w:val="000000" w:themeColor="text1"/>
          <w:sz w:val="20"/>
          <w:szCs w:val="20"/>
        </w:rPr>
        <w:t xml:space="preserve"> até 30 (trinta)</w:t>
      </w:r>
      <w:r>
        <w:rPr>
          <w:rFonts w:eastAsia="Arial" w:cs="Arial" w:ascii="Arial" w:hAnsi="Arial"/>
          <w:color w:val="FF0000"/>
          <w:sz w:val="20"/>
          <w:szCs w:val="20"/>
        </w:rPr>
        <w:t xml:space="preserve"> </w:t>
      </w:r>
      <w:r>
        <w:rPr>
          <w:rFonts w:cs="Arial" w:ascii="Arial" w:hAnsi="Arial"/>
          <w:color w:val="000000" w:themeColor="text1"/>
          <w:sz w:val="20"/>
          <w:szCs w:val="20"/>
        </w:rPr>
        <w:t>dias, contados do recebimento da Nota Fiscal/Fatura.</w:t>
      </w:r>
    </w:p>
    <w:p>
      <w:pPr>
        <w:pStyle w:val="Normal"/>
        <w:numPr>
          <w:ilvl w:val="2"/>
          <w:numId w:val="58"/>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Considera-se ocorrido o recebimento da nota fiscal ou fatura quando o órgão contratante atestar a execução do objeto do contrato.</w:t>
      </w:r>
    </w:p>
    <w:p>
      <w:pPr>
        <w:pStyle w:val="Normal"/>
        <w:numPr>
          <w:ilvl w:val="2"/>
          <w:numId w:val="59"/>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No caso de atraso pelo Contratante, os valores devidos ao contratado serão atualizados monetariamente entre o termo final do prazo de pagamento até a data de sua efetiva realização, mediante aplicação do índice </w:t>
      </w:r>
      <w:r>
        <w:rPr>
          <w:rFonts w:cs="Arial" w:ascii="Arial" w:hAnsi="Arial"/>
          <w:i/>
          <w:iCs/>
          <w:color w:val="000000"/>
          <w:sz w:val="20"/>
          <w:szCs w:val="20"/>
        </w:rPr>
        <w:t>IPCA</w:t>
      </w:r>
      <w:r>
        <w:rPr>
          <w:rFonts w:cs="Arial" w:ascii="Arial" w:hAnsi="Arial"/>
          <w:color w:val="000000" w:themeColor="text1"/>
          <w:sz w:val="20"/>
          <w:szCs w:val="20"/>
        </w:rPr>
        <w:t xml:space="preserve"> de correção monetária.</w:t>
      </w:r>
    </w:p>
    <w:p>
      <w:pPr>
        <w:pStyle w:val="Normal"/>
        <w:numPr>
          <w:ilvl w:val="1"/>
          <w:numId w:val="1"/>
        </w:numPr>
        <w:spacing w:lineRule="auto" w:line="276" w:before="120" w:after="120"/>
        <w:jc w:val="both"/>
        <w:rPr>
          <w:rFonts w:ascii="Arial" w:hAnsi="Arial" w:cs="Arial"/>
          <w:b/>
          <w:b/>
          <w:color w:val="0000CC"/>
          <w:sz w:val="20"/>
          <w:szCs w:val="20"/>
        </w:rPr>
      </w:pPr>
      <w:r>
        <w:rPr>
          <w:rFonts w:cs="Arial" w:ascii="Arial" w:hAnsi="Arial"/>
          <w:b/>
          <w:color w:val="0000CC"/>
          <w:sz w:val="20"/>
          <w:szCs w:val="20"/>
        </w:rPr>
        <w:t>CONDIÇÕES DE PAGAMENTO</w:t>
      </w:r>
    </w:p>
    <w:p>
      <w:pPr>
        <w:pStyle w:val="Normal"/>
        <w:numPr>
          <w:ilvl w:val="2"/>
          <w:numId w:val="60"/>
        </w:numPr>
        <w:spacing w:lineRule="auto" w:line="276" w:before="120" w:after="120"/>
        <w:ind w:left="284" w:hanging="0"/>
        <w:jc w:val="both"/>
        <w:rPr>
          <w:rFonts w:ascii="Arial" w:hAnsi="Arial" w:cs="Arial"/>
          <w:color w:val="000000" w:themeColor="text1"/>
          <w:sz w:val="20"/>
          <w:szCs w:val="20"/>
        </w:rPr>
      </w:pPr>
      <w:r>
        <w:rPr>
          <w:rFonts w:cs="Arial" w:ascii="Arial" w:hAnsi="Arial"/>
          <w:iCs/>
          <w:sz w:val="20"/>
          <w:szCs w:val="20"/>
        </w:rPr>
        <w:t xml:space="preserve">A emissão da </w:t>
      </w:r>
      <w:r>
        <w:rPr>
          <w:rFonts w:cs="Arial" w:ascii="Arial" w:hAnsi="Arial"/>
          <w:color w:val="000000" w:themeColor="text1"/>
          <w:sz w:val="20"/>
          <w:szCs w:val="20"/>
        </w:rPr>
        <w:t>Nota Fiscal/Fatura será precedida do recebimento definitivo do objeto da contratação, conforme disposto neste instrumento e/ou no Termo de Referência.</w:t>
      </w:r>
    </w:p>
    <w:p>
      <w:pPr>
        <w:pStyle w:val="Normal"/>
        <w:numPr>
          <w:ilvl w:val="2"/>
          <w:numId w:val="61"/>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 </w:t>
      </w:r>
      <w:r>
        <w:rPr>
          <w:rFonts w:cs="Arial" w:ascii="Arial" w:hAnsi="Arial"/>
          <w:color w:val="000000" w:themeColor="text1"/>
          <w:sz w:val="20"/>
          <w:szCs w:val="20"/>
        </w:rPr>
        <w:t>Quando houver glosa parcial do objeto, o contratante deverá comunicar a empresa para que emita a nota fiscal ou fatura com o valor exato dimensionado.</w:t>
      </w:r>
    </w:p>
    <w:p>
      <w:pPr>
        <w:pStyle w:val="Normal"/>
        <w:numPr>
          <w:ilvl w:val="2"/>
          <w:numId w:val="62"/>
        </w:numPr>
        <w:spacing w:lineRule="auto" w:line="276" w:before="120" w:after="120"/>
        <w:ind w:left="284" w:hanging="0"/>
        <w:jc w:val="both"/>
        <w:rPr>
          <w:rFonts w:ascii="Arial" w:hAnsi="Arial" w:cs="Arial"/>
          <w:iCs/>
          <w:sz w:val="20"/>
          <w:szCs w:val="20"/>
        </w:rPr>
      </w:pPr>
      <w:r>
        <w:rPr>
          <w:rFonts w:cs="Arial" w:ascii="Arial" w:hAnsi="Arial"/>
          <w:color w:val="000000" w:themeColor="text1"/>
          <w:sz w:val="20"/>
          <w:szCs w:val="20"/>
        </w:rPr>
        <w:t>O setor competente para</w:t>
      </w:r>
      <w:r>
        <w:rPr>
          <w:rFonts w:cs="Arial" w:ascii="Arial" w:hAnsi="Arial"/>
          <w:color w:val="000000"/>
          <w:sz w:val="20"/>
          <w:szCs w:val="20"/>
        </w:rPr>
        <w:t xml:space="preserve"> proceder o pagamento deve verificar se a Nota Fiscal ou Fatura apresentada expressa os elementos necessários e essenciais do documento, tais como: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prazo de validade;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a data da emissão;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os dados do contrato e do órgão contratante;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período respectivo de execução do contrato;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valor a pagar; e </w:t>
      </w:r>
    </w:p>
    <w:p>
      <w:pPr>
        <w:pStyle w:val="ListParagraph"/>
        <w:numPr>
          <w:ilvl w:val="0"/>
          <w:numId w:val="2"/>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eventual destaque do valor de retenções tributárias cabíveis.</w:t>
      </w:r>
    </w:p>
    <w:p>
      <w:pPr>
        <w:pStyle w:val="Normal"/>
        <w:numPr>
          <w:ilvl w:val="2"/>
          <w:numId w:val="63"/>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Havendo erro </w:t>
      </w:r>
      <w:r>
        <w:rPr>
          <w:rFonts w:cs="Arial" w:ascii="Arial" w:hAnsi="Arial"/>
          <w:color w:val="000000"/>
          <w:sz w:val="20"/>
          <w:szCs w:val="20"/>
        </w:rPr>
        <w:t>na</w:t>
      </w:r>
      <w:r>
        <w:rPr>
          <w:rFonts w:cs="Arial" w:ascii="Arial" w:hAnsi="Arial"/>
          <w:iCs/>
          <w:sz w:val="20"/>
          <w:szCs w:val="20"/>
        </w:rPr>
        <w:t xml:space="preserve"> apresentação da Nota Fiscal/Fatura, ou circunstância que impeça a liquidação da </w:t>
      </w:r>
      <w:r>
        <w:rPr>
          <w:rFonts w:cs="Arial" w:ascii="Arial" w:hAnsi="Arial"/>
          <w:color w:val="000000" w:themeColor="text1"/>
          <w:sz w:val="20"/>
          <w:szCs w:val="20"/>
        </w:rPr>
        <w:t>despesa</w:t>
      </w:r>
      <w:r>
        <w:rPr>
          <w:rFonts w:cs="Arial" w:ascii="Arial" w:hAnsi="Arial"/>
          <w:iCs/>
          <w:sz w:val="20"/>
          <w:szCs w:val="20"/>
        </w:rPr>
        <w:t>, o pagamento ficará sobrestado até que o contratado providencie as medidas saneadoras. Nesta hipótese, o prazo para pagamento iniciar-se-á após a comprovação da regularização da situação, não acarretando qualquer ônus para o contratante;</w:t>
      </w:r>
    </w:p>
    <w:p>
      <w:pPr>
        <w:pStyle w:val="Normal"/>
        <w:numPr>
          <w:ilvl w:val="2"/>
          <w:numId w:val="64"/>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 </w:t>
      </w:r>
      <w:r>
        <w:rPr>
          <w:rFonts w:cs="Arial" w:ascii="Arial" w:hAnsi="Arial"/>
          <w:color w:val="000000"/>
          <w:sz w:val="20"/>
          <w:szCs w:val="20"/>
        </w:rPr>
        <w:t xml:space="preserve">A Nota Fiscal ou Fatura deverá ser obrigatoriamente acompanhada da comprovação da regularidade fiscal, constatada por meio de consulta </w:t>
      </w:r>
      <w:r>
        <w:rPr>
          <w:rFonts w:cs="Arial" w:ascii="Arial" w:hAnsi="Arial"/>
          <w:i/>
          <w:color w:val="000000"/>
          <w:sz w:val="20"/>
          <w:szCs w:val="20"/>
        </w:rPr>
        <w:t>on-line</w:t>
      </w:r>
      <w:r>
        <w:rPr>
          <w:rFonts w:cs="Arial" w:ascii="Arial" w:hAnsi="Arial"/>
          <w:color w:val="000000"/>
          <w:sz w:val="20"/>
          <w:szCs w:val="20"/>
        </w:rPr>
        <w:t xml:space="preserve"> ao SICAF ou, na impossibilidade de acesso ao referido Sistema, mediante consulta aos sítios eletrônicos oficiais ou à documentação mencionada no art. 68 da Lei nº </w:t>
      </w:r>
      <w:r>
        <w:rPr>
          <w:rFonts w:cs="Arial" w:ascii="Arial" w:hAnsi="Arial"/>
          <w:sz w:val="20"/>
          <w:szCs w:val="20"/>
        </w:rPr>
        <w:t xml:space="preserve">14.133/2021. </w:t>
      </w:r>
      <w:r>
        <w:rPr>
          <w:rFonts w:cs="Arial" w:ascii="Arial" w:hAnsi="Arial"/>
          <w:color w:val="000000"/>
          <w:sz w:val="20"/>
          <w:szCs w:val="20"/>
        </w:rPr>
        <w:t xml:space="preserve">  </w:t>
      </w:r>
    </w:p>
    <w:p>
      <w:pPr>
        <w:pStyle w:val="Normal"/>
        <w:numPr>
          <w:ilvl w:val="2"/>
          <w:numId w:val="65"/>
        </w:numPr>
        <w:spacing w:lineRule="auto" w:line="276" w:before="120" w:after="120"/>
        <w:ind w:left="284" w:hanging="0"/>
        <w:jc w:val="both"/>
        <w:rPr>
          <w:rFonts w:ascii="Arial" w:hAnsi="Arial" w:cs="Arial"/>
          <w:color w:val="000000"/>
          <w:sz w:val="20"/>
          <w:szCs w:val="20"/>
        </w:rPr>
      </w:pPr>
      <w:r>
        <w:rPr>
          <w:rFonts w:cs="Arial" w:ascii="Arial" w:hAnsi="Arial"/>
          <w:sz w:val="20"/>
          <w:szCs w:val="20"/>
        </w:rPr>
        <w:t xml:space="preserve">Previamente à emissão de nota de empenho e a cada pagamento, a Administração deverá realizar consulta ao </w:t>
      </w:r>
      <w:r>
        <w:rPr>
          <w:rFonts w:cs="Arial" w:ascii="Arial" w:hAnsi="Arial"/>
          <w:color w:val="000000"/>
          <w:sz w:val="20"/>
          <w:szCs w:val="20"/>
        </w:rPr>
        <w:t>SICAF</w:t>
      </w:r>
      <w:r>
        <w:rPr>
          <w:rFonts w:cs="Arial" w:ascii="Arial" w:hAnsi="Arial"/>
          <w:sz w:val="20"/>
          <w:szCs w:val="20"/>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pPr>
        <w:pStyle w:val="Normal"/>
        <w:numPr>
          <w:ilvl w:val="2"/>
          <w:numId w:val="66"/>
        </w:numPr>
        <w:spacing w:lineRule="auto" w:line="276" w:before="120" w:after="120"/>
        <w:ind w:left="284" w:hanging="0"/>
        <w:jc w:val="both"/>
        <w:rPr>
          <w:rFonts w:ascii="Arial" w:hAnsi="Arial" w:cs="Arial"/>
          <w:sz w:val="20"/>
          <w:szCs w:val="20"/>
        </w:rPr>
      </w:pPr>
      <w:r>
        <w:rPr>
          <w:rFonts w:cs="Arial" w:ascii="Arial" w:hAnsi="Arial"/>
          <w:sz w:val="20"/>
          <w:szCs w:val="20"/>
        </w:rPr>
        <w:t xml:space="preserve">Constatando-se, junto ao SICAF, a situação de irregularidade do contratado, será providenciada sua </w:t>
      </w:r>
      <w:r>
        <w:rPr>
          <w:rFonts w:cs="Arial" w:ascii="Arial" w:hAnsi="Arial"/>
          <w:color w:val="000000"/>
          <w:sz w:val="20"/>
          <w:szCs w:val="20"/>
        </w:rPr>
        <w:t>notificação</w:t>
      </w:r>
      <w:r>
        <w:rPr>
          <w:rFonts w:cs="Arial" w:ascii="Arial" w:hAnsi="Arial"/>
          <w:sz w:val="20"/>
          <w:szCs w:val="20"/>
        </w:rPr>
        <w:t>, por escrito, para que, no prazo de 5 (cinco) dias úteis, regularize sua situação ou, no mesmo prazo, apresente sua defesa. O prazo poderá ser prorrogado uma vez, por igual período, a critério do contratante.</w:t>
      </w:r>
    </w:p>
    <w:p>
      <w:pPr>
        <w:pStyle w:val="Normal"/>
        <w:numPr>
          <w:ilvl w:val="2"/>
          <w:numId w:val="67"/>
        </w:numPr>
        <w:spacing w:lineRule="auto" w:line="276" w:before="120" w:after="120"/>
        <w:ind w:left="284" w:hanging="0"/>
        <w:jc w:val="both"/>
        <w:rPr>
          <w:rFonts w:ascii="Arial" w:hAnsi="Arial" w:cs="Arial"/>
          <w:sz w:val="20"/>
          <w:szCs w:val="20"/>
        </w:rPr>
      </w:pPr>
      <w:r>
        <w:rPr>
          <w:rFonts w:cs="Arial" w:ascii="Arial" w:hAnsi="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2"/>
          <w:numId w:val="68"/>
        </w:numPr>
        <w:spacing w:lineRule="auto" w:line="276" w:before="120" w:after="120"/>
        <w:ind w:left="284" w:hanging="0"/>
        <w:jc w:val="both"/>
        <w:rPr>
          <w:rFonts w:ascii="Arial" w:hAnsi="Arial" w:cs="Arial"/>
          <w:sz w:val="20"/>
          <w:szCs w:val="20"/>
        </w:rPr>
      </w:pPr>
      <w:r>
        <w:rPr>
          <w:rFonts w:cs="Arial" w:ascii="Arial" w:hAnsi="Arial"/>
          <w:sz w:val="20"/>
          <w:szCs w:val="20"/>
        </w:rPr>
        <w:t xml:space="preserve">Persistindo a irregularidade, o contratante deverá adotar as medidas necessárias à rescisão contratual nos autos do processo administrativo correspondente, assegurada ao contratado a ampla defesa. </w:t>
      </w:r>
    </w:p>
    <w:p>
      <w:pPr>
        <w:pStyle w:val="Normal"/>
        <w:numPr>
          <w:ilvl w:val="2"/>
          <w:numId w:val="69"/>
        </w:numPr>
        <w:spacing w:lineRule="auto" w:line="276" w:before="120" w:after="120"/>
        <w:ind w:left="284" w:hanging="0"/>
        <w:jc w:val="both"/>
        <w:rPr>
          <w:rFonts w:ascii="Arial" w:hAnsi="Arial" w:cs="Arial"/>
          <w:sz w:val="20"/>
          <w:szCs w:val="20"/>
        </w:rPr>
      </w:pPr>
      <w:r>
        <w:rPr>
          <w:rFonts w:cs="Arial" w:ascii="Arial" w:hAnsi="Arial"/>
          <w:sz w:val="20"/>
          <w:szCs w:val="20"/>
        </w:rPr>
        <w:t xml:space="preserve">Havendo a efetiva execução do objeto, os pagamentos serão realizados normalmente, até que se decida pela rescisão do contrato, caso o contratado não regularize sua situação junto ao SICAF.  </w:t>
      </w:r>
    </w:p>
    <w:p>
      <w:pPr>
        <w:pStyle w:val="Normal"/>
        <w:numPr>
          <w:ilvl w:val="2"/>
          <w:numId w:val="70"/>
        </w:numPr>
        <w:spacing w:lineRule="auto" w:line="276" w:before="120" w:after="120"/>
        <w:ind w:left="284" w:hanging="0"/>
        <w:jc w:val="both"/>
        <w:rPr>
          <w:rFonts w:ascii="Arial" w:hAnsi="Arial" w:cs="Arial"/>
          <w:sz w:val="20"/>
          <w:szCs w:val="20"/>
        </w:rPr>
      </w:pPr>
      <w:r>
        <w:rPr>
          <w:rFonts w:cs="Arial" w:ascii="Arial" w:hAnsi="Arial"/>
          <w:sz w:val="20"/>
          <w:szCs w:val="20"/>
        </w:rPr>
        <w:t>Quando do pagamento, será efetuada a retenção tributária prevista na legislação aplicável.</w:t>
      </w:r>
    </w:p>
    <w:p>
      <w:pPr>
        <w:pStyle w:val="Normal"/>
        <w:numPr>
          <w:ilvl w:val="3"/>
          <w:numId w:val="71"/>
        </w:numPr>
        <w:spacing w:lineRule="auto" w:line="276" w:before="120" w:after="120"/>
        <w:jc w:val="both"/>
        <w:rPr>
          <w:rFonts w:ascii="Arial" w:hAnsi="Arial" w:cs="Arial"/>
          <w:sz w:val="20"/>
          <w:szCs w:val="20"/>
        </w:rPr>
      </w:pPr>
      <w:r>
        <w:rPr>
          <w:rFonts w:cs="Arial" w:ascii="Arial" w:hAnsi="Arial"/>
          <w:sz w:val="20"/>
          <w:szCs w:val="20"/>
        </w:rPr>
        <w:t>Independentemente do percentual de tributo inserido na planilha, no pagamento serão retidos na fonte os percentuais estabelecidos na legislação vigente.</w:t>
      </w:r>
    </w:p>
    <w:p>
      <w:pPr>
        <w:pStyle w:val="Normal"/>
        <w:numPr>
          <w:ilvl w:val="2"/>
          <w:numId w:val="72"/>
        </w:numPr>
        <w:spacing w:lineRule="auto" w:line="276" w:before="120" w:after="120"/>
        <w:ind w:left="284" w:hanging="0"/>
        <w:jc w:val="both"/>
        <w:rPr>
          <w:rFonts w:ascii="Arial" w:hAnsi="Arial" w:cs="Arial"/>
          <w:sz w:val="20"/>
          <w:szCs w:val="20"/>
        </w:rPr>
      </w:pPr>
      <w:r>
        <w:rPr>
          <w:rFonts w:cs="Arial" w:ascii="Arial" w:hAnsi="Arial"/>
          <w:sz w:val="20"/>
          <w:szCs w:val="2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pPr>
        <w:pStyle w:val="Nivel01Titulo"/>
        <w:numPr>
          <w:ilvl w:val="0"/>
          <w:numId w:val="1"/>
        </w:numPr>
        <w:rPr>
          <w:rFonts w:cs="Arial"/>
          <w:bCs w:val="false"/>
          <w:color w:val="0000CC"/>
        </w:rPr>
      </w:pPr>
      <w:r>
        <w:rPr>
          <w:rFonts w:cs="Arial"/>
        </w:rPr>
        <w:t>CLÁUSULA SEXTA - REAJUSTE (art. 92, V)</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Os preços inicialmente contratados são fixos e irreajustáveis no prazo de um ano contado da data do orçamento estimado, em </w:t>
      </w:r>
      <w:r>
        <w:rPr>
          <w:rFonts w:cs="Arial" w:ascii="Arial" w:hAnsi="Arial"/>
          <w:color w:val="000000"/>
          <w:sz w:val="20"/>
          <w:szCs w:val="20"/>
        </w:rPr>
        <w:t>XX</w:t>
      </w:r>
      <w:r>
        <w:rPr>
          <w:rFonts w:cs="Arial" w:ascii="Arial" w:hAnsi="Arial"/>
          <w:i/>
          <w:iCs/>
          <w:color w:val="000000"/>
          <w:sz w:val="20"/>
          <w:szCs w:val="20"/>
        </w:rPr>
        <w:t>/10/2023</w:t>
      </w:r>
      <w:r>
        <w:rPr>
          <w:rFonts w:cs="Arial" w:ascii="Arial" w:hAnsi="Arial"/>
          <w:color w:val="000000"/>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Após o interregno de um ano, e independentemente de pedido do Contratado, os preços iniciais serão reajustados, mediante a aplicação, pelo Contratante, do índice IPCA</w:t>
      </w:r>
      <w:r>
        <w:rPr>
          <w:rFonts w:cs="Arial" w:ascii="Arial" w:hAnsi="Arial"/>
          <w:i/>
          <w:iCs/>
          <w:sz w:val="20"/>
          <w:szCs w:val="20"/>
        </w:rPr>
        <w:t>,</w:t>
      </w:r>
      <w:r>
        <w:rPr>
          <w:rFonts w:cs="Arial" w:ascii="Arial" w:hAnsi="Arial"/>
          <w:sz w:val="20"/>
          <w:szCs w:val="20"/>
        </w:rPr>
        <w:t xml:space="preserve"> exclusivamente para as obrigações iniciadas e concluídas após a ocorrência da anualidade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Nos reajustes subsequentes ao primeiro, o interregno mínimo de um ano será contado a partir dos efeitos financeiros do último reajuste.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Nas aferições finais, o(s) índice(s) utilizado(s) para reajuste será(ão), obrigatoriamente, o(s) definitivo(s).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Na ausência de previsão legal quanto ao índice substituto, as partes elegerão novo índice oficial, para reajustamento do preço do valor remanescente, por meio de termo aditivo. </w:t>
      </w:r>
    </w:p>
    <w:p>
      <w:pPr>
        <w:pStyle w:val="Normal"/>
        <w:numPr>
          <w:ilvl w:val="1"/>
          <w:numId w:val="1"/>
        </w:numPr>
        <w:spacing w:lineRule="auto" w:line="276" w:before="120" w:after="120"/>
        <w:ind w:left="425" w:hanging="0"/>
        <w:jc w:val="both"/>
        <w:rPr>
          <w:rFonts w:ascii="Arial" w:hAnsi="Arial" w:cs="Arial"/>
          <w:sz w:val="20"/>
          <w:szCs w:val="20"/>
          <w:lang w:val="x-none" w:eastAsia="pt-BR"/>
        </w:rPr>
      </w:pPr>
      <w:r>
        <w:rPr>
          <w:rFonts w:cs="Arial" w:ascii="Arial" w:hAnsi="Arial"/>
          <w:sz w:val="20"/>
          <w:szCs w:val="20"/>
        </w:rPr>
        <w:t>O reajuste será realizado por apostilamento.</w:t>
      </w:r>
    </w:p>
    <w:p>
      <w:pPr>
        <w:pStyle w:val="Nivel01Titulo"/>
        <w:numPr>
          <w:ilvl w:val="0"/>
          <w:numId w:val="1"/>
        </w:numPr>
        <w:rPr>
          <w:rFonts w:cs="Arial"/>
        </w:rPr>
      </w:pPr>
      <w:r>
        <w:rPr>
          <w:rFonts w:cs="Arial"/>
        </w:rPr>
        <w:t>CLÁUSULA SÉTIMA - OBRIGAÇÕES DO CONTRATANTE (art. 92, X, XI e XIV)</w:t>
      </w:r>
    </w:p>
    <w:p>
      <w:pPr>
        <w:pStyle w:val="Normal"/>
        <w:numPr>
          <w:ilvl w:val="1"/>
          <w:numId w:val="1"/>
        </w:numPr>
        <w:spacing w:lineRule="auto" w:line="276" w:before="120" w:after="120"/>
        <w:ind w:left="425" w:hanging="0"/>
        <w:jc w:val="both"/>
        <w:rPr>
          <w:rFonts w:ascii="Arial" w:hAnsi="Arial" w:cs="Arial"/>
          <w:b/>
          <w:b/>
          <w:color w:val="000000"/>
          <w:sz w:val="20"/>
          <w:szCs w:val="20"/>
        </w:rPr>
      </w:pPr>
      <w:r>
        <w:rPr>
          <w:rFonts w:cs="Arial" w:ascii="Arial" w:hAnsi="Arial"/>
          <w:sz w:val="20"/>
          <w:szCs w:val="20"/>
        </w:rPr>
        <w:t>São obrigações do Contratante:</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Exigir</w:t>
      </w:r>
      <w:r>
        <w:rPr>
          <w:rFonts w:cs="Arial" w:ascii="Arial" w:hAnsi="Arial"/>
          <w:color w:val="000000"/>
          <w:sz w:val="20"/>
          <w:szCs w:val="20"/>
        </w:rPr>
        <w:t xml:space="preserve"> o cumprimento de todas as obrigações assumidas pelo Contratado, de acordo com o contrato e seus anexos;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Receber o objeto/serviço no prazo e condições estabelecidas no Termo de Referência;</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color w:val="000000"/>
          <w:sz w:val="20"/>
          <w:szCs w:val="20"/>
        </w:rPr>
        <w:t>Notificar o Contratado</w:t>
      </w:r>
      <w:r>
        <w:rPr>
          <w:rFonts w:cs="Arial" w:ascii="Arial" w:hAnsi="Arial"/>
          <w:sz w:val="20"/>
          <w:szCs w:val="20"/>
        </w:rPr>
        <w:t>, por escrito, sobre vícios, defeitos ou incorreções verificadas no objeto fornecido, para que seja por ele substituído, reparado ou corrigido, no total ou em parte, às suas expensas;</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Acompanhar e fiscalizar a execução do contrato e o cumprimento das obrigações pelo Contratado</w:t>
      </w:r>
      <w:r>
        <w:rPr>
          <w:rFonts w:cs="Arial" w:ascii="Arial" w:hAnsi="Arial"/>
          <w:color w:val="000000"/>
          <w:sz w:val="20"/>
          <w:szCs w:val="20"/>
        </w:rPr>
        <w:t>;</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sz w:val="20"/>
          <w:szCs w:val="20"/>
        </w:rPr>
        <w:t>Efetuar o pagamento ao Contratado</w:t>
      </w:r>
      <w:r>
        <w:rPr>
          <w:rFonts w:cs="Arial" w:ascii="Arial" w:hAnsi="Arial"/>
          <w:b/>
          <w:sz w:val="20"/>
          <w:szCs w:val="20"/>
        </w:rPr>
        <w:t xml:space="preserve"> </w:t>
      </w:r>
      <w:r>
        <w:rPr>
          <w:rFonts w:cs="Arial" w:ascii="Arial" w:hAnsi="Arial"/>
          <w:sz w:val="20"/>
          <w:szCs w:val="20"/>
        </w:rPr>
        <w:t>do valor correspondente ao fornecimento do objeto, no prazo, forma e condições estabelecidos no presente Contrato;</w:t>
      </w:r>
    </w:p>
    <w:p>
      <w:pPr>
        <w:pStyle w:val="Normal"/>
        <w:numPr>
          <w:ilvl w:val="2"/>
          <w:numId w:val="1"/>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Aplicar ao Contratado sanções motivadas pela inexecução total ou parcial do Contrato;</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color w:val="000000"/>
          <w:sz w:val="20"/>
          <w:szCs w:val="20"/>
        </w:rPr>
        <w:t xml:space="preserve">Cientificar o </w:t>
      </w:r>
      <w:r>
        <w:rPr>
          <w:rFonts w:cs="Arial" w:ascii="Arial" w:hAnsi="Arial"/>
          <w:bCs/>
          <w:color w:val="000000"/>
          <w:sz w:val="20"/>
          <w:szCs w:val="20"/>
        </w:rPr>
        <w:t>órgão</w:t>
      </w:r>
      <w:r>
        <w:rPr>
          <w:rFonts w:cs="Arial" w:ascii="Arial" w:hAnsi="Arial"/>
          <w:color w:val="000000"/>
          <w:sz w:val="20"/>
          <w:szCs w:val="20"/>
        </w:rPr>
        <w:t xml:space="preserve"> de representação judicial da Advocacia-Geral da União para adoção das medidas cabíveis quando do descumprimento de obrigações pelo Contratado;</w:t>
      </w:r>
    </w:p>
    <w:p>
      <w:pPr>
        <w:pStyle w:val="Normal"/>
        <w:numPr>
          <w:ilvl w:val="2"/>
          <w:numId w:val="1"/>
        </w:numPr>
        <w:spacing w:lineRule="auto" w:line="276" w:before="120" w:after="120"/>
        <w:jc w:val="both"/>
        <w:rPr>
          <w:rFonts w:ascii="Arial" w:hAnsi="Arial" w:cs="Arial"/>
          <w:bCs/>
          <w:color w:val="000000"/>
          <w:sz w:val="20"/>
          <w:szCs w:val="20"/>
        </w:rPr>
      </w:pPr>
      <w:r>
        <w:rPr>
          <w:rFonts w:cs="Arial" w:ascii="Arial" w:hAnsi="Arial"/>
          <w:bCs/>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numPr>
          <w:ilvl w:val="3"/>
          <w:numId w:val="1"/>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Concluída a instrução do requerimento, a Administração terá o prazo de 10</w:t>
      </w:r>
      <w:r>
        <w:rPr>
          <w:rFonts w:cs="Arial" w:ascii="Arial" w:hAnsi="Arial"/>
          <w:bCs/>
          <w:i/>
          <w:color w:val="000000"/>
          <w:sz w:val="20"/>
          <w:szCs w:val="20"/>
        </w:rPr>
        <w:t xml:space="preserve"> (dez) dias</w:t>
      </w:r>
      <w:r>
        <w:rPr>
          <w:rFonts w:cs="Arial" w:ascii="Arial" w:hAnsi="Arial"/>
          <w:bCs/>
          <w:color w:val="000000"/>
          <w:sz w:val="20"/>
          <w:szCs w:val="20"/>
        </w:rPr>
        <w:t xml:space="preserve"> para decidir, admitida a prorrogação motivada por igual período.</w:t>
      </w:r>
    </w:p>
    <w:p>
      <w:pPr>
        <w:pStyle w:val="Normal"/>
        <w:numPr>
          <w:ilvl w:val="2"/>
          <w:numId w:val="1"/>
        </w:numPr>
        <w:spacing w:lineRule="auto" w:line="276" w:before="120" w:after="120"/>
        <w:jc w:val="both"/>
        <w:rPr>
          <w:color w:val="000000"/>
        </w:rPr>
      </w:pPr>
      <w:r>
        <w:rPr>
          <w:rFonts w:cs="Arial" w:ascii="Arial" w:hAnsi="Arial"/>
          <w:bCs/>
          <w:i/>
          <w:color w:val="000000"/>
          <w:sz w:val="20"/>
          <w:szCs w:val="20"/>
        </w:rPr>
        <w:t>Notificar os emitentes das garantias quanto ao início de processo administrativo para apuração de descumprimento de cláusulas contratuais.</w:t>
      </w:r>
    </w:p>
    <w:p>
      <w:pPr>
        <w:pStyle w:val="Normal"/>
        <w:numPr>
          <w:ilvl w:val="2"/>
          <w:numId w:val="1"/>
        </w:numPr>
        <w:spacing w:lineRule="auto" w:line="276" w:before="120" w:after="120"/>
        <w:jc w:val="both"/>
        <w:rPr>
          <w:color w:val="000000"/>
        </w:rPr>
      </w:pPr>
      <w:r>
        <w:rPr>
          <w:rFonts w:cs="Arial" w:ascii="Arial" w:hAnsi="Arial"/>
          <w:i/>
          <w:iCs/>
          <w:color w:val="000000"/>
          <w:sz w:val="20"/>
          <w:szCs w:val="20"/>
        </w:rPr>
        <w:t>Comunicar o Contratado na hipótese de posterior alteração do projeto pelo Contratante, no caso do art. 93, §2º, da Lei nº 14.133/21.</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Titulo"/>
        <w:numPr>
          <w:ilvl w:val="0"/>
          <w:numId w:val="1"/>
        </w:numPr>
        <w:rPr>
          <w:rFonts w:cs="Arial"/>
        </w:rPr>
      </w:pPr>
      <w:r>
        <w:rPr>
          <w:rFonts w:cs="Arial"/>
        </w:rPr>
        <w:t>CLÁUSULA OITAVA - OBRIGAÇÕES DO CONTRATADO (art. 92, XIV, XVI e XVII)</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deve cumprir todas as obrigações constantes deste Contrato, em seus anexos, assumindo como exclusivamente seus os riscos e as despesas decorrentes da boa e perfeita execução do objeto, observando, ainda, as obrigações a seguir dispostas: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Manter preposto aceito pela Administração no local da obra ou do serviço para representá-lo na execução do contrato.</w:t>
      </w:r>
    </w:p>
    <w:p>
      <w:pPr>
        <w:pStyle w:val="Normal"/>
        <w:numPr>
          <w:ilvl w:val="3"/>
          <w:numId w:val="1"/>
        </w:numPr>
        <w:spacing w:lineRule="auto" w:line="276" w:before="120" w:after="120"/>
        <w:jc w:val="both"/>
        <w:rPr>
          <w:rFonts w:ascii="Arial" w:hAnsi="Arial" w:cs="Arial"/>
          <w:color w:val="000000" w:themeColor="text1"/>
          <w:sz w:val="20"/>
          <w:szCs w:val="20"/>
        </w:rPr>
      </w:pPr>
      <w:r>
        <w:rPr>
          <w:rFonts w:cs="Arial" w:ascii="Arial" w:hAnsi="Arial"/>
          <w:sz w:val="20"/>
          <w:szCs w:val="20"/>
        </w:rPr>
        <w:t>A indicação ou a manutenção do preposto da empresa poderá ser recusada pelo órgão ou entidade, desde que devidamente justificada, devendo a empresa designar outro para o exercício da atividade.</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Atender às determinações regulares emitidas pelo fiscal do contrato ou autoridade superior (art. 137, II);</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ormal"/>
        <w:numPr>
          <w:ilvl w:val="2"/>
          <w:numId w:val="1"/>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pPr>
        <w:pStyle w:val="Normal"/>
        <w:numPr>
          <w:ilvl w:val="2"/>
          <w:numId w:val="1"/>
        </w:numPr>
        <w:spacing w:lineRule="auto" w:line="276" w:before="120" w:after="120"/>
        <w:jc w:val="both"/>
        <w:rPr>
          <w:rFonts w:ascii="Arial" w:hAnsi="Arial" w:cs="Arial"/>
          <w:iCs/>
          <w:sz w:val="20"/>
          <w:szCs w:val="20"/>
        </w:rPr>
      </w:pPr>
      <w:r>
        <w:rPr>
          <w:rFonts w:cs="Arial" w:ascii="Arial" w:hAnsi="Arial"/>
          <w:iCs/>
          <w:color w:val="000000" w:themeColor="text1"/>
          <w:sz w:val="20"/>
          <w:szCs w:val="20"/>
        </w:rPr>
        <w:t xml:space="preserve">Quando não for possível a verificação da regularidade no Sistema de Cadastro </w:t>
      </w:r>
      <w:r>
        <w:rPr>
          <w:rFonts w:cs="Arial" w:ascii="Arial" w:hAnsi="Arial"/>
          <w:iCs/>
          <w:sz w:val="20"/>
          <w:szCs w:val="20"/>
        </w:rPr>
        <w:t xml:space="preserve">de Fornecedores – SICAF, a empresa contratada deverá entregar ao setor responsável pela fiscalização do contrato, até o dia trinta do mês seguinte ao da prestação dos serviços, os seguintes documentos: 1) prova de regularidade relativa à Seguridade </w:t>
      </w:r>
      <w:r>
        <w:rPr>
          <w:rFonts w:cs="Arial" w:ascii="Arial" w:hAnsi="Arial"/>
          <w:sz w:val="20"/>
          <w:szCs w:val="20"/>
        </w:rPr>
        <w:t>Social</w:t>
      </w:r>
      <w:r>
        <w:rPr>
          <w:rFonts w:cs="Arial" w:ascii="Arial" w:hAnsi="Arial"/>
          <w:iCs/>
          <w:sz w:val="20"/>
          <w:szCs w:val="20"/>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ormal"/>
        <w:numPr>
          <w:ilvl w:val="2"/>
          <w:numId w:val="1"/>
        </w:numPr>
        <w:spacing w:lineRule="auto" w:line="276" w:before="120" w:after="120"/>
        <w:jc w:val="both"/>
        <w:rPr>
          <w:rFonts w:ascii="Arial" w:hAnsi="Arial" w:cs="Arial"/>
          <w:iCs/>
          <w:sz w:val="20"/>
          <w:szCs w:val="20"/>
        </w:rPr>
      </w:pPr>
      <w:r>
        <w:rPr>
          <w:rFonts w:cs="Arial" w:ascii="Arial" w:hAnsi="Arial"/>
          <w:iCs/>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ormal"/>
        <w:numPr>
          <w:ilvl w:val="2"/>
          <w:numId w:val="1"/>
        </w:numPr>
        <w:spacing w:lineRule="auto" w:line="276" w:before="120" w:after="120"/>
        <w:jc w:val="both"/>
        <w:rPr>
          <w:rFonts w:ascii="Arial" w:hAnsi="Arial" w:cs="Arial"/>
          <w:sz w:val="20"/>
          <w:szCs w:val="20"/>
          <w:lang w:eastAsia="pt-BR"/>
        </w:rPr>
      </w:pPr>
      <w:r>
        <w:rPr>
          <w:rFonts w:cs="Arial" w:ascii="Arial" w:hAnsi="Arial"/>
          <w:sz w:val="20"/>
          <w:szCs w:val="20"/>
        </w:rPr>
        <w:t xml:space="preserve">Comunicar ao Fiscal do contrato, no prazo de 24 (vinte e quatro) horas, qualquer ocorrência anormal ou </w:t>
      </w:r>
      <w:r>
        <w:rPr>
          <w:rFonts w:cs="Arial" w:ascii="Arial" w:hAnsi="Arial"/>
          <w:color w:val="000000"/>
          <w:sz w:val="20"/>
          <w:szCs w:val="20"/>
        </w:rPr>
        <w:t>acidente</w:t>
      </w:r>
      <w:r>
        <w:rPr>
          <w:rFonts w:cs="Arial" w:ascii="Arial" w:hAnsi="Arial"/>
          <w:sz w:val="20"/>
          <w:szCs w:val="20"/>
        </w:rPr>
        <w:t xml:space="preserve"> que se verifique no local dos serviços.</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Prestar todo esclarecimento ou informação solicitada pelo Contratante ou por seus prepostos, garantindo-lhes o acesso, a qualquer tempo, ao local dos trabalhos, bem como aos documentos relativos à execução do empreendimento.</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Paralisar, por determinação do Contratante, qualquer atividade que não esteja sendo executada de acordo com a boa técnica ou que ponha em risco a segurança de pessoas ou bens de terceiros.</w:t>
      </w:r>
    </w:p>
    <w:p>
      <w:pPr>
        <w:pStyle w:val="Normal"/>
        <w:numPr>
          <w:ilvl w:val="2"/>
          <w:numId w:val="1"/>
        </w:numPr>
        <w:spacing w:lineRule="auto" w:line="276" w:before="120" w:after="120"/>
        <w:jc w:val="both"/>
        <w:rPr>
          <w:rFonts w:ascii="Arial" w:hAnsi="Arial" w:cs="Arial"/>
          <w:color w:val="000000"/>
          <w:sz w:val="20"/>
          <w:szCs w:val="20"/>
        </w:rPr>
      </w:pPr>
      <w:r>
        <w:rPr>
          <w:rFonts w:cs="Arial" w:ascii="Arial" w:hAnsi="Arial"/>
          <w:sz w:val="20"/>
          <w:szCs w:val="20"/>
        </w:rPr>
        <w:t>Promover a guarda, manutenção e vigilância de materiais, ferramentas, e tudo o que for necessário à execução do objeto, durante a vigência do contrato.</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Submeter previamente, por escrito, ao Contratante, para análise e aprovação, quaisquer mudanças nos métodos executivos que fujam às especificações do memorial descritivo ou instrumento congênere.</w:t>
      </w:r>
    </w:p>
    <w:p>
      <w:pPr>
        <w:pStyle w:val="Normal"/>
        <w:numPr>
          <w:ilvl w:val="2"/>
          <w:numId w:val="1"/>
        </w:numPr>
        <w:spacing w:lineRule="auto" w:line="276" w:before="120" w:after="120"/>
        <w:jc w:val="both"/>
        <w:rPr>
          <w:rFonts w:ascii="Arial" w:hAnsi="Arial" w:cs="Arial"/>
          <w:sz w:val="20"/>
          <w:szCs w:val="20"/>
        </w:rPr>
      </w:pPr>
      <w:r>
        <w:rPr>
          <w:rFonts w:cs="Arial" w:ascii="Arial" w:hAnsi="Arial"/>
          <w:color w:val="000000"/>
          <w:sz w:val="20"/>
          <w:szCs w:val="20"/>
        </w:rPr>
        <w:t xml:space="preserve">Não permitir a utilização de qualquer trabalho do menor de dezesseis anos, </w:t>
      </w:r>
      <w:r>
        <w:rPr>
          <w:rFonts w:cs="Arial" w:ascii="Arial" w:hAnsi="Arial"/>
          <w:sz w:val="20"/>
          <w:szCs w:val="20"/>
        </w:rPr>
        <w:t>exceto na condição de aprendiz para os maiores de quatorze anos, nem permitir a utilização do trabalho do menor de dezoito anos em trabalho noturno, perigoso ou insalubre;</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Manter durante toda a vigência do contrato, em compatibilidade com as obrigações assumidas, todas as condições exigidas para habilitação na licitação, ou para qualificação, na contratação direta; </w:t>
      </w:r>
    </w:p>
    <w:p>
      <w:pPr>
        <w:pStyle w:val="Normal"/>
        <w:numPr>
          <w:ilvl w:val="2"/>
          <w:numId w:val="1"/>
        </w:numPr>
        <w:spacing w:lineRule="auto" w:line="276" w:before="120" w:after="120"/>
        <w:jc w:val="both"/>
        <w:rPr>
          <w:rFonts w:ascii="Arial" w:hAnsi="Arial" w:cs="Arial"/>
          <w:b/>
          <w:b/>
          <w:bCs/>
          <w:sz w:val="20"/>
          <w:szCs w:val="20"/>
        </w:rPr>
      </w:pPr>
      <w:r>
        <w:rPr>
          <w:rFonts w:cs="Arial" w:ascii="Arial" w:hAnsi="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Comprovar a reserva de cargos a que se refere a cláusula acima, no prazo fixado pelo fiscal do contrato, com a indicação dos empregados que preencheram as referidas vagas (art. 116, parágrafo único);</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 xml:space="preserve">Guardar sigilo sobre todas as informações obtidas em decorrência do cumprimento do contrato; </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Cumprir, além dos postulados legais vigentes de âmbito federal, estadual ou municipal, as normas de segurança do Contratante;</w:t>
      </w:r>
    </w:p>
    <w:p>
      <w:pPr>
        <w:pStyle w:val="Normal"/>
        <w:spacing w:lineRule="auto" w:line="276" w:before="120" w:after="120"/>
        <w:jc w:val="both"/>
        <w:rPr>
          <w:rFonts w:ascii="Arial" w:hAnsi="Arial" w:cs="Arial"/>
          <w:i/>
          <w:i/>
          <w:iCs/>
          <w:color w:val="FF0000"/>
          <w:sz w:val="20"/>
          <w:szCs w:val="20"/>
        </w:rPr>
      </w:pPr>
      <w:r>
        <w:rPr>
          <w:rFonts w:cs="Arial" w:ascii="Arial" w:hAnsi="Arial"/>
          <w:i/>
          <w:iCs/>
          <w:color w:val="FF0000"/>
          <w:sz w:val="20"/>
          <w:szCs w:val="20"/>
        </w:rPr>
      </w:r>
    </w:p>
    <w:p>
      <w:pPr>
        <w:pStyle w:val="Nivel01Titulo"/>
        <w:numPr>
          <w:ilvl w:val="0"/>
          <w:numId w:val="1"/>
        </w:numPr>
        <w:rPr>
          <w:color w:val="000000"/>
        </w:rPr>
      </w:pPr>
      <w:r>
        <w:rPr>
          <w:rFonts w:cs="Arial"/>
          <w:i/>
          <w:iCs/>
          <w:color w:val="000000"/>
        </w:rPr>
        <w:t>CLÁUSULA NONA- OBRIGAÇÕES PERTINENTES À LGPD</w:t>
      </w:r>
    </w:p>
    <w:p>
      <w:pPr>
        <w:pStyle w:val="Normal"/>
        <w:numPr>
          <w:ilvl w:val="1"/>
          <w:numId w:val="4"/>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ormal"/>
        <w:numPr>
          <w:ilvl w:val="1"/>
          <w:numId w:val="4"/>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Os dados obtidos somente poderão ser utilizados para as finalidades que justificaram seu acesso e de acordo com a boa-fé e com os princípios do art. 6º da LGPD. </w:t>
      </w:r>
    </w:p>
    <w:p>
      <w:pPr>
        <w:pStyle w:val="Normal"/>
        <w:numPr>
          <w:ilvl w:val="1"/>
          <w:numId w:val="4"/>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É vedado o compartilhamento com terceiros dos dados obtidos fora das hipóteses permitidas em Lei.</w:t>
      </w:r>
    </w:p>
    <w:p>
      <w:pPr>
        <w:pStyle w:val="Normal"/>
        <w:numPr>
          <w:ilvl w:val="1"/>
          <w:numId w:val="4"/>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 Administração deverá ser informada no prazo de 5 (cinco) dias úteis sobre todos os contratos de suboperação firmados ou que venham a ser celebrados pelo Contratado. </w:t>
      </w:r>
    </w:p>
    <w:p>
      <w:pPr>
        <w:pStyle w:val="Normal"/>
        <w:numPr>
          <w:ilvl w:val="1"/>
          <w:numId w:val="4"/>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ormal"/>
        <w:numPr>
          <w:ilvl w:val="1"/>
          <w:numId w:val="4"/>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É dever do contratado orientar e treinar seus empregados sobre os deveres, requisitos e responsabilidades decorrentes da LGPD. </w:t>
      </w:r>
    </w:p>
    <w:p>
      <w:pPr>
        <w:pStyle w:val="Normal"/>
        <w:numPr>
          <w:ilvl w:val="1"/>
          <w:numId w:val="4"/>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O Contratado deverá exigir de suboperadores e subcontratados o cumprimento dos deveres da presente cláusula, permanecendo integralmente responsável por garantir sua observância.</w:t>
      </w:r>
    </w:p>
    <w:p>
      <w:pPr>
        <w:pStyle w:val="Normal"/>
        <w:numPr>
          <w:ilvl w:val="1"/>
          <w:numId w:val="4"/>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Contratante poderá realizar diligência para aferir o cumprimento dessa cláusula, devendo o Contratado atender prontamente eventuais pedidos de comprovação formulados. </w:t>
      </w:r>
    </w:p>
    <w:p>
      <w:pPr>
        <w:pStyle w:val="Normal"/>
        <w:numPr>
          <w:ilvl w:val="1"/>
          <w:numId w:val="4"/>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Contratado deverá prestar, no prazo fixado pelo Contratante, prorrogável justificadamente, quaisquer informações acerca dos dados pessoais para cumprimento da LGPD, inclusive quanto a eventual descarte realizado. </w:t>
      </w:r>
    </w:p>
    <w:p>
      <w:pPr>
        <w:pStyle w:val="Normal"/>
        <w:numPr>
          <w:ilvl w:val="1"/>
          <w:numId w:val="4"/>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pPr>
        <w:pStyle w:val="Normal"/>
        <w:numPr>
          <w:ilvl w:val="2"/>
          <w:numId w:val="4"/>
        </w:numPr>
        <w:spacing w:lineRule="auto" w:line="276" w:before="120" w:after="120"/>
        <w:ind w:left="1560" w:hanging="720"/>
        <w:jc w:val="both"/>
        <w:rPr>
          <w:color w:val="000000"/>
        </w:rPr>
      </w:pPr>
      <w:r>
        <w:rPr>
          <w:rFonts w:eastAsia="Arial Unicode MS" w:cs="Arial" w:ascii="Arial" w:hAnsi="Arial"/>
          <w:i/>
          <w:iCs/>
          <w:color w:val="000000"/>
          <w:sz w:val="20"/>
          <w:szCs w:val="20"/>
          <w:lang w:eastAsia="pt-BR"/>
        </w:rPr>
        <w:t xml:space="preserve">Os referidos bancos de dados devem ser desenvolvidos em formato interoperável, a fim de garantir a reutilização desses dados pela Administração nas hipóteses previstas na LGPD. </w:t>
      </w:r>
    </w:p>
    <w:p>
      <w:pPr>
        <w:pStyle w:val="Normal"/>
        <w:numPr>
          <w:ilvl w:val="1"/>
          <w:numId w:val="4"/>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pPr>
        <w:pStyle w:val="Normal"/>
        <w:numPr>
          <w:ilvl w:val="1"/>
          <w:numId w:val="4"/>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Os contratos e convênios de que trata o § 1º do art. 26 da LGPD deverão ser comunicados à autoridade nacional. </w:t>
      </w:r>
    </w:p>
    <w:p>
      <w:pPr>
        <w:pStyle w:val="Nivel01Titulo"/>
        <w:numPr>
          <w:ilvl w:val="0"/>
          <w:numId w:val="1"/>
        </w:numPr>
        <w:rPr>
          <w:rFonts w:cs="Arial"/>
        </w:rPr>
      </w:pPr>
      <w:r>
        <w:rPr>
          <w:rFonts w:cs="Arial"/>
        </w:rPr>
        <w:t>CLÁUSULA DÉCIMA – GARANTIA DE EXECUÇÃO (art. 92, XII e XIII)</w:t>
      </w:r>
    </w:p>
    <w:p>
      <w:pPr>
        <w:pStyle w:val="Normal"/>
        <w:spacing w:lineRule="auto" w:line="276"/>
        <w:rPr>
          <w:rFonts w:ascii="Arial" w:hAnsi="Arial" w:cs="Arial"/>
          <w:i/>
          <w:i/>
          <w:sz w:val="20"/>
          <w:szCs w:val="20"/>
        </w:rPr>
      </w:pPr>
      <w:r>
        <w:rPr>
          <w:rFonts w:cs="Arial" w:ascii="Arial" w:hAnsi="Arial"/>
          <w:i/>
          <w:sz w:val="20"/>
          <w:szCs w:val="20"/>
        </w:rPr>
      </w:r>
    </w:p>
    <w:p>
      <w:pPr>
        <w:pStyle w:val="Normal"/>
        <w:numPr>
          <w:ilvl w:val="1"/>
          <w:numId w:val="1"/>
        </w:numPr>
        <w:spacing w:lineRule="auto" w:line="276" w:before="120" w:after="120"/>
        <w:ind w:left="425" w:hanging="0"/>
        <w:jc w:val="both"/>
        <w:rPr/>
      </w:pPr>
      <w:r>
        <w:rPr>
          <w:rFonts w:cs="Arial" w:ascii="Arial" w:hAnsi="Arial"/>
          <w:i/>
          <w:color w:val="000000"/>
          <w:sz w:val="20"/>
          <w:szCs w:val="20"/>
        </w:rPr>
        <w:t>Não haverá exigência de garantia contratual da execução.</w:t>
      </w:r>
    </w:p>
    <w:p>
      <w:pPr>
        <w:pStyle w:val="Nivel01Titulo"/>
        <w:numPr>
          <w:ilvl w:val="0"/>
          <w:numId w:val="1"/>
        </w:numPr>
        <w:rPr>
          <w:rFonts w:cs="Arial"/>
        </w:rPr>
      </w:pPr>
      <w:r>
        <w:rPr>
          <w:rFonts w:cs="Arial"/>
        </w:rPr>
        <w:t>CLÁUSULA DÉCIMA PRIMEIRA – INFRAÇÕES E SANÇÕES ADMINISTRATIVAS (art. 92, XIV)</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Comete infração administrativa, nos termos da Lei nº 14.133, de 2021, o Contratado que:</w:t>
      </w:r>
    </w:p>
    <w:p>
      <w:pPr>
        <w:pStyle w:val="PargrafodaLista1"/>
        <w:numPr>
          <w:ilvl w:val="2"/>
          <w:numId w:val="5"/>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w:t>
      </w:r>
    </w:p>
    <w:p>
      <w:pPr>
        <w:pStyle w:val="PargrafodaLista1"/>
        <w:numPr>
          <w:ilvl w:val="2"/>
          <w:numId w:val="73"/>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 que cause grave dano à Administração ou ao funcionamento dos serviços públicos ou ao interesse coletivo;</w:t>
      </w:r>
    </w:p>
    <w:p>
      <w:pPr>
        <w:pStyle w:val="PargrafodaLista1"/>
        <w:numPr>
          <w:ilvl w:val="2"/>
          <w:numId w:val="74"/>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total do contrato;</w:t>
      </w:r>
    </w:p>
    <w:p>
      <w:pPr>
        <w:pStyle w:val="PargrafodaLista1"/>
        <w:numPr>
          <w:ilvl w:val="2"/>
          <w:numId w:val="75"/>
        </w:numPr>
        <w:spacing w:lineRule="auto" w:line="276" w:before="120" w:after="120"/>
        <w:ind w:left="1224" w:right="-30" w:hanging="504"/>
        <w:jc w:val="both"/>
        <w:rPr>
          <w:rFonts w:ascii="Arial" w:hAnsi="Arial" w:cs="Arial"/>
          <w:sz w:val="20"/>
          <w:szCs w:val="20"/>
        </w:rPr>
      </w:pPr>
      <w:r>
        <w:rPr>
          <w:rFonts w:cs="Arial" w:ascii="Arial" w:hAnsi="Arial"/>
          <w:sz w:val="20"/>
          <w:szCs w:val="20"/>
        </w:rPr>
        <w:t>Deixar de entregar a documentação exigida para o certame;</w:t>
      </w:r>
    </w:p>
    <w:p>
      <w:pPr>
        <w:pStyle w:val="PargrafodaLista1"/>
        <w:numPr>
          <w:ilvl w:val="2"/>
          <w:numId w:val="76"/>
        </w:numPr>
        <w:spacing w:lineRule="auto" w:line="276" w:before="120" w:after="120"/>
        <w:ind w:left="1224" w:right="-30" w:hanging="504"/>
        <w:jc w:val="both"/>
        <w:rPr>
          <w:rFonts w:ascii="Arial" w:hAnsi="Arial" w:cs="Arial"/>
          <w:sz w:val="20"/>
          <w:szCs w:val="20"/>
        </w:rPr>
      </w:pPr>
      <w:r>
        <w:rPr>
          <w:rFonts w:cs="Arial" w:ascii="Arial" w:hAnsi="Arial"/>
          <w:sz w:val="20"/>
          <w:szCs w:val="20"/>
        </w:rPr>
        <w:t>Não manter a proposta, salvo em decorrência de fato superveniente devidamente justificado;</w:t>
      </w:r>
    </w:p>
    <w:p>
      <w:pPr>
        <w:pStyle w:val="PargrafodaLista1"/>
        <w:numPr>
          <w:ilvl w:val="2"/>
          <w:numId w:val="77"/>
        </w:numPr>
        <w:spacing w:lineRule="auto" w:line="276" w:before="120" w:after="120"/>
        <w:ind w:left="1224" w:right="-30" w:hanging="504"/>
        <w:jc w:val="both"/>
        <w:rPr>
          <w:rFonts w:ascii="Arial" w:hAnsi="Arial" w:cs="Arial"/>
          <w:sz w:val="20"/>
          <w:szCs w:val="20"/>
        </w:rPr>
      </w:pPr>
      <w:r>
        <w:rPr>
          <w:rFonts w:cs="Arial" w:ascii="Arial" w:hAnsi="Arial"/>
          <w:sz w:val="20"/>
          <w:szCs w:val="20"/>
        </w:rPr>
        <w:t>Não celebrar o contrato ou não entregar a documentação exigida para a contratação, quando convocado dentro do prazo de validade de sua proposta;</w:t>
      </w:r>
    </w:p>
    <w:p>
      <w:pPr>
        <w:pStyle w:val="PargrafodaLista1"/>
        <w:numPr>
          <w:ilvl w:val="2"/>
          <w:numId w:val="78"/>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ou da entrega do objeto da contratação sem motivo justificado;</w:t>
      </w:r>
    </w:p>
    <w:p>
      <w:pPr>
        <w:pStyle w:val="PargrafodaLista1"/>
        <w:numPr>
          <w:ilvl w:val="2"/>
          <w:numId w:val="79"/>
        </w:numPr>
        <w:spacing w:lineRule="auto" w:line="276" w:before="120" w:after="120"/>
        <w:ind w:left="1224" w:right="-30" w:hanging="504"/>
        <w:jc w:val="both"/>
        <w:rPr>
          <w:rFonts w:ascii="Arial" w:hAnsi="Arial" w:cs="Arial"/>
          <w:sz w:val="20"/>
          <w:szCs w:val="20"/>
        </w:rPr>
      </w:pPr>
      <w:r>
        <w:rPr>
          <w:rFonts w:cs="Arial" w:ascii="Arial" w:hAnsi="Arial"/>
          <w:sz w:val="20"/>
          <w:szCs w:val="20"/>
        </w:rPr>
        <w:t>Apresentar declaração ou documentação falsa exigida para o certame ou prestar declaração falsa durante a dispensa eletrônica ou execução do contrato;</w:t>
      </w:r>
    </w:p>
    <w:p>
      <w:pPr>
        <w:pStyle w:val="PargrafodaLista1"/>
        <w:numPr>
          <w:ilvl w:val="2"/>
          <w:numId w:val="80"/>
        </w:numPr>
        <w:spacing w:lineRule="auto" w:line="276" w:before="120" w:after="120"/>
        <w:ind w:left="1224" w:right="-30" w:hanging="504"/>
        <w:jc w:val="both"/>
        <w:rPr>
          <w:rFonts w:ascii="Arial" w:hAnsi="Arial" w:cs="Arial"/>
          <w:sz w:val="20"/>
          <w:szCs w:val="20"/>
        </w:rPr>
      </w:pPr>
      <w:r>
        <w:rPr>
          <w:rFonts w:cs="Arial" w:ascii="Arial" w:hAnsi="Arial"/>
          <w:sz w:val="20"/>
          <w:szCs w:val="20"/>
        </w:rPr>
        <w:t>Fraudar a contratação ou praticar ato fraudulento na execução do contrato;</w:t>
      </w:r>
    </w:p>
    <w:p>
      <w:pPr>
        <w:pStyle w:val="PargrafodaLista1"/>
        <w:numPr>
          <w:ilvl w:val="2"/>
          <w:numId w:val="81"/>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 cometer fraude de qualquer natureza;</w:t>
      </w:r>
    </w:p>
    <w:p>
      <w:pPr>
        <w:pStyle w:val="PargrafodaLista1"/>
        <w:numPr>
          <w:ilvl w:val="2"/>
          <w:numId w:val="82"/>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atos ilícitos com vistas a frustrar os objetivos da contratação;</w:t>
      </w:r>
    </w:p>
    <w:p>
      <w:pPr>
        <w:pStyle w:val="PargrafodaLista1"/>
        <w:numPr>
          <w:ilvl w:val="2"/>
          <w:numId w:val="83"/>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 lesivo previsto no art. 5º da Lei nº 12.846, de 1º de agosto de 2013.</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Serão aplicadas ao responsável pelas infrações administrativas acima descritas as seguintes sanções:</w:t>
      </w:r>
    </w:p>
    <w:p>
      <w:pPr>
        <w:pStyle w:val="Normal"/>
        <w:numPr>
          <w:ilvl w:val="2"/>
          <w:numId w:val="6"/>
        </w:numPr>
        <w:spacing w:lineRule="auto" w:line="276" w:before="120" w:after="120"/>
        <w:jc w:val="both"/>
        <w:rPr>
          <w:rFonts w:ascii="Arial" w:hAnsi="Arial" w:cs="Arial"/>
          <w:sz w:val="20"/>
          <w:szCs w:val="20"/>
        </w:rPr>
      </w:pPr>
      <w:r>
        <w:rPr>
          <w:rFonts w:cs="Arial" w:ascii="Arial" w:hAnsi="Arial"/>
          <w:b/>
          <w:bCs/>
          <w:sz w:val="20"/>
          <w:szCs w:val="20"/>
        </w:rPr>
        <w:t>Advertência</w:t>
      </w:r>
      <w:r>
        <w:rPr>
          <w:rFonts w:cs="Arial" w:ascii="Arial" w:hAnsi="Arial"/>
          <w:sz w:val="20"/>
          <w:szCs w:val="20"/>
        </w:rPr>
        <w:t>, quando o Contratado der causa à inexecução parcial do contrato, sempre que não se justificar a imposição de penalidade mais grave (art. 156, §2º, da Lei);</w:t>
      </w:r>
    </w:p>
    <w:p>
      <w:pPr>
        <w:pStyle w:val="Normal"/>
        <w:numPr>
          <w:ilvl w:val="2"/>
          <w:numId w:val="84"/>
        </w:numPr>
        <w:spacing w:lineRule="auto" w:line="276" w:before="120" w:after="120"/>
        <w:jc w:val="both"/>
        <w:rPr>
          <w:rFonts w:ascii="Arial" w:hAnsi="Arial" w:cs="Arial"/>
          <w:sz w:val="20"/>
          <w:szCs w:val="20"/>
        </w:rPr>
      </w:pPr>
      <w:r>
        <w:rPr>
          <w:rFonts w:cs="Arial" w:ascii="Arial" w:hAnsi="Arial"/>
          <w:b/>
          <w:bCs/>
          <w:sz w:val="20"/>
          <w:szCs w:val="20"/>
        </w:rPr>
        <w:t>Impedimento de licitar e contratar</w:t>
      </w:r>
      <w:r>
        <w:rPr>
          <w:rFonts w:cs="Arial" w:ascii="Arial" w:hAnsi="Arial"/>
          <w:sz w:val="20"/>
          <w:szCs w:val="20"/>
        </w:rPr>
        <w:t>, quando praticadas as condutas descritas nas alíneas b, c, d, e, f e g do subitem acima deste Contrato, sempre que não se justificar a imposição de penalidade mais grave (art. 156, §4º, da Lei);</w:t>
      </w:r>
    </w:p>
    <w:p>
      <w:pPr>
        <w:pStyle w:val="Normal"/>
        <w:numPr>
          <w:ilvl w:val="2"/>
          <w:numId w:val="85"/>
        </w:numPr>
        <w:spacing w:lineRule="auto" w:line="276" w:before="120" w:after="120"/>
        <w:jc w:val="both"/>
        <w:rPr>
          <w:rFonts w:ascii="Arial" w:hAnsi="Arial" w:cs="Arial"/>
          <w:sz w:val="20"/>
          <w:szCs w:val="20"/>
        </w:rPr>
      </w:pPr>
      <w:r>
        <w:rPr>
          <w:rFonts w:cs="Arial" w:ascii="Arial" w:hAnsi="Arial"/>
          <w:b/>
          <w:bCs/>
          <w:sz w:val="20"/>
          <w:szCs w:val="20"/>
        </w:rPr>
        <w:t>Declaração de inidoneidade para licitar e contratar</w:t>
      </w:r>
      <w:r>
        <w:rPr>
          <w:rFonts w:cs="Arial" w:ascii="Arial" w:hAnsi="Arial"/>
          <w:sz w:val="20"/>
          <w:szCs w:val="20"/>
        </w:rPr>
        <w:t>, quando praticadas as condutas descritas nas alíneas h, i, j, k e l do subitem acima deste Contrato, bem como nas alíneas b, c, d, e, f e g, que justifiquem a imposição de penalidade mais grave (art. 156, §5º, da Lei)</w:t>
      </w:r>
    </w:p>
    <w:p>
      <w:pPr>
        <w:pStyle w:val="Normal"/>
        <w:numPr>
          <w:ilvl w:val="2"/>
          <w:numId w:val="86"/>
        </w:numPr>
        <w:spacing w:lineRule="auto" w:line="276" w:before="120" w:after="120"/>
        <w:jc w:val="both"/>
        <w:rPr>
          <w:rFonts w:ascii="Arial" w:hAnsi="Arial" w:cs="Arial"/>
          <w:sz w:val="20"/>
          <w:szCs w:val="20"/>
        </w:rPr>
      </w:pPr>
      <w:r>
        <w:rPr>
          <w:rFonts w:cs="Arial" w:ascii="Arial" w:hAnsi="Arial"/>
          <w:b/>
          <w:bCs/>
          <w:sz w:val="20"/>
          <w:szCs w:val="20"/>
        </w:rPr>
        <w:t>Multa:</w:t>
      </w:r>
    </w:p>
    <w:p>
      <w:pPr>
        <w:pStyle w:val="Normal"/>
        <w:numPr>
          <w:ilvl w:val="3"/>
          <w:numId w:val="87"/>
        </w:numPr>
        <w:spacing w:lineRule="auto" w:line="276" w:before="120" w:after="120"/>
        <w:jc w:val="both"/>
        <w:rPr>
          <w:rFonts w:ascii="Arial" w:hAnsi="Arial" w:cs="Arial"/>
          <w:sz w:val="20"/>
          <w:szCs w:val="20"/>
        </w:rPr>
      </w:pPr>
      <w:r>
        <w:rPr>
          <w:rFonts w:cs="Arial" w:ascii="Arial" w:hAnsi="Arial"/>
          <w:sz w:val="20"/>
          <w:szCs w:val="20"/>
        </w:rPr>
        <w:t xml:space="preserve">Moratória de </w:t>
      </w:r>
      <w:r>
        <w:rPr>
          <w:rFonts w:eastAsia="Calibri" w:cs="Arial" w:ascii="Arial" w:hAnsi="Arial"/>
          <w:color w:val="000000"/>
          <w:kern w:val="0"/>
          <w:sz w:val="20"/>
          <w:szCs w:val="20"/>
          <w:lang w:val="pt-BR" w:eastAsia="en-US" w:bidi="ar-SA"/>
        </w:rPr>
        <w:t>0,5</w:t>
      </w:r>
      <w:r>
        <w:rPr>
          <w:rFonts w:cs="Arial" w:ascii="Arial" w:hAnsi="Arial"/>
          <w:sz w:val="20"/>
          <w:szCs w:val="20"/>
        </w:rPr>
        <w:t xml:space="preserve">% por cento por dia de atraso injustificado sobre o valor da parcela inadimplida, até o limite de </w:t>
      </w:r>
      <w:r>
        <w:rPr>
          <w:rFonts w:cs="Arial" w:ascii="Arial" w:hAnsi="Arial"/>
          <w:color w:val="000000"/>
          <w:sz w:val="20"/>
          <w:szCs w:val="20"/>
        </w:rPr>
        <w:t xml:space="preserve">60 (sessenta) </w:t>
      </w:r>
      <w:r>
        <w:rPr>
          <w:rFonts w:cs="Arial" w:ascii="Arial" w:hAnsi="Arial"/>
          <w:sz w:val="20"/>
          <w:szCs w:val="20"/>
        </w:rPr>
        <w:t>dias;</w:t>
      </w:r>
    </w:p>
    <w:p>
      <w:pPr>
        <w:pStyle w:val="Normal"/>
        <w:numPr>
          <w:ilvl w:val="3"/>
          <w:numId w:val="88"/>
        </w:numPr>
        <w:spacing w:lineRule="auto" w:line="276" w:before="120" w:after="120"/>
        <w:jc w:val="both"/>
        <w:rPr>
          <w:rFonts w:ascii="Arial" w:hAnsi="Arial" w:cs="Arial"/>
          <w:sz w:val="20"/>
          <w:szCs w:val="20"/>
        </w:rPr>
      </w:pPr>
      <w:r>
        <w:rPr>
          <w:rFonts w:cs="Arial" w:ascii="Arial" w:hAnsi="Arial"/>
          <w:sz w:val="20"/>
          <w:szCs w:val="20"/>
        </w:rPr>
        <w:t xml:space="preserve">Compensatória de </w:t>
      </w:r>
      <w:r>
        <w:rPr>
          <w:rFonts w:eastAsia="Arial" w:cs="Arial" w:ascii="Arial" w:hAnsi="Arial"/>
          <w:b w:val="false"/>
          <w:bCs w:val="false"/>
          <w:color w:val="000000"/>
          <w:sz w:val="20"/>
          <w:szCs w:val="20"/>
          <w:u w:val="none"/>
        </w:rPr>
        <w:t>10% (dez por cento)</w:t>
      </w:r>
      <w:r>
        <w:rPr>
          <w:rFonts w:cs="Arial" w:ascii="Arial" w:hAnsi="Arial"/>
          <w:b w:val="false"/>
          <w:bCs w:val="false"/>
          <w:sz w:val="20"/>
          <w:szCs w:val="20"/>
        </w:rPr>
        <w:t xml:space="preserve"> </w:t>
      </w:r>
      <w:r>
        <w:rPr>
          <w:rFonts w:cs="Arial" w:ascii="Arial" w:hAnsi="Arial"/>
          <w:sz w:val="20"/>
          <w:szCs w:val="20"/>
        </w:rPr>
        <w:t>sobre o valor total do contrato, no caso de inexecução total do objeto;</w:t>
      </w:r>
    </w:p>
    <w:p>
      <w:pPr>
        <w:pStyle w:val="Normal"/>
        <w:numPr>
          <w:ilvl w:val="1"/>
          <w:numId w:val="1"/>
        </w:numPr>
        <w:spacing w:lineRule="auto" w:line="276" w:before="120" w:after="120"/>
        <w:ind w:left="425" w:hanging="0"/>
        <w:jc w:val="both"/>
        <w:rPr>
          <w:rFonts w:ascii="Arial" w:hAnsi="Arial" w:cs="Arial"/>
          <w:sz w:val="20"/>
          <w:szCs w:val="20"/>
        </w:rPr>
      </w:pPr>
      <w:bookmarkStart w:id="0" w:name="_Hlk78351618"/>
      <w:r>
        <w:rPr>
          <w:rFonts w:cs="Arial" w:ascii="Arial" w:hAnsi="Arial"/>
          <w:sz w:val="20"/>
          <w:szCs w:val="20"/>
        </w:rPr>
        <w:t>A aplicação das sanções previstas neste Contrato não exclui, em hipótese alguma, a obrigação de reparação integral do dano causado à Contratante (art. 156, §9º)</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Todas as sanções previstas neste Contrato poderão ser aplicadas cumulativamente com a multa (art. 156, §7º).</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Antes da aplicação da multa será facultada a defesa do interessado no prazo de 15 (quinze) dias úteis, contado da data de sua intimação (art. 157)</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pPr>
        <w:pStyle w:val="Normal"/>
        <w:numPr>
          <w:ilvl w:val="2"/>
          <w:numId w:val="1"/>
        </w:numPr>
        <w:spacing w:lineRule="auto" w:line="276" w:before="120" w:after="120"/>
        <w:jc w:val="both"/>
        <w:rPr>
          <w:rFonts w:ascii="Arial" w:hAnsi="Arial" w:cs="Arial"/>
          <w:sz w:val="20"/>
          <w:szCs w:val="20"/>
        </w:rPr>
      </w:pPr>
      <w:r>
        <w:rPr>
          <w:rFonts w:cs="Arial" w:ascii="Arial" w:hAnsi="Arial"/>
          <w:sz w:val="20"/>
          <w:szCs w:val="20"/>
        </w:rPr>
        <w:t>Previamente ao encaminhamento à cobrança judicial, a multa poderá ser recolhida administrativamente no prazo máximo de 30</w:t>
      </w:r>
      <w:r>
        <w:rPr>
          <w:rFonts w:cs="Arial" w:ascii="Arial" w:hAnsi="Arial"/>
          <w:i/>
          <w:iCs/>
          <w:color w:val="FF0000"/>
          <w:sz w:val="20"/>
          <w:szCs w:val="20"/>
        </w:rPr>
        <w:t xml:space="preserve"> </w:t>
      </w:r>
      <w:r>
        <w:rPr>
          <w:rFonts w:cs="Arial" w:ascii="Arial" w:hAnsi="Arial"/>
          <w:i/>
          <w:iCs/>
          <w:color w:val="000000"/>
          <w:sz w:val="20"/>
          <w:szCs w:val="20"/>
        </w:rPr>
        <w:t>(trinta)</w:t>
      </w:r>
      <w:r>
        <w:rPr>
          <w:rFonts w:cs="Arial" w:ascii="Arial" w:hAnsi="Arial"/>
          <w:i/>
          <w:iCs/>
          <w:color w:val="FF0000"/>
          <w:sz w:val="20"/>
          <w:szCs w:val="20"/>
        </w:rPr>
        <w:t xml:space="preserve"> </w:t>
      </w:r>
      <w:r>
        <w:rPr>
          <w:rFonts w:cs="Arial" w:ascii="Arial" w:hAnsi="Arial"/>
          <w:sz w:val="20"/>
          <w:szCs w:val="20"/>
        </w:rPr>
        <w:t>dias, a contar da data do recebimento da comunicação enviada pela autoridade competente.</w:t>
      </w:r>
      <w:bookmarkEnd w:id="0"/>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A aplicação das sanções realizar-se-á em processo administrativo que assegure o contraditório e a ampla defesa ao Contratado, observando-se o procedimento previsto no </w:t>
      </w:r>
      <w:r>
        <w:rPr>
          <w:rFonts w:cs="Arial" w:ascii="Arial" w:hAnsi="Arial"/>
          <w:b/>
          <w:bCs/>
          <w:sz w:val="20"/>
          <w:szCs w:val="20"/>
        </w:rPr>
        <w:t xml:space="preserve">caput </w:t>
      </w:r>
      <w:r>
        <w:rPr>
          <w:rFonts w:cs="Arial" w:ascii="Arial" w:hAnsi="Arial"/>
          <w:sz w:val="20"/>
          <w:szCs w:val="20"/>
        </w:rPr>
        <w:t>e parágrafos do art. 158 da Lei nº 14.133, de 2021,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Na aplicação das sanções serão considerados (art. 156, §1º) :</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natureza e a gravidade da infração cometida;</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peculiaridades do caso concreto;</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circunstâncias agravantes ou atenuantes;</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Os danos que dela provierem para o Contratante;</w:t>
      </w:r>
    </w:p>
    <w:p>
      <w:pPr>
        <w:pStyle w:val="ListParagraph"/>
        <w:numPr>
          <w:ilvl w:val="0"/>
          <w:numId w:val="3"/>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 xml:space="preserve"> </w:t>
      </w:r>
      <w:r>
        <w:rPr>
          <w:rFonts w:cs="Arial" w:ascii="Arial" w:hAnsi="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pPr>
        <w:pStyle w:val="Normal"/>
        <w:numPr>
          <w:ilvl w:val="1"/>
          <w:numId w:val="1"/>
        </w:numPr>
        <w:spacing w:lineRule="auto" w:line="276" w:before="120" w:after="120"/>
        <w:ind w:left="425" w:hanging="0"/>
        <w:jc w:val="both"/>
        <w:rPr>
          <w:rFonts w:ascii="Arial" w:hAnsi="Arial" w:cs="Arial"/>
          <w:i/>
          <w:i/>
          <w:sz w:val="20"/>
          <w:szCs w:val="20"/>
        </w:rPr>
      </w:pPr>
      <w:r>
        <w:rPr>
          <w:rFonts w:cs="Arial" w:ascii="Arial" w:hAnsi="Arial"/>
          <w:sz w:val="20"/>
          <w:szCs w:val="20"/>
        </w:rPr>
        <w:t>As sanções de impedimento de licitar e contratar e declaração de inidoneidade para licitar ou contratar são passíveis de reabilitação na forma do art. 163 da Lei nº 14.133/21.</w:t>
      </w:r>
    </w:p>
    <w:p>
      <w:pPr>
        <w:pStyle w:val="Nivel01Titulo"/>
        <w:numPr>
          <w:ilvl w:val="0"/>
          <w:numId w:val="1"/>
        </w:numPr>
        <w:rPr>
          <w:rFonts w:cs="Arial"/>
        </w:rPr>
      </w:pPr>
      <w:r>
        <w:rPr>
          <w:rFonts w:cs="Arial"/>
        </w:rPr>
        <w:t>CLÁUSULA DÉCIMA SEGUNDA – DA EXTINÇÃO CONTRATUAL (art. 92, XIX)</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89"/>
        </w:numPr>
        <w:spacing w:lineRule="auto" w:line="276" w:before="120" w:after="120"/>
        <w:jc w:val="both"/>
        <w:rPr>
          <w:color w:val="000000"/>
        </w:rPr>
      </w:pPr>
      <w:r>
        <w:rPr>
          <w:rFonts w:cs="Arial" w:ascii="Arial" w:hAnsi="Arial"/>
          <w:i/>
          <w:iCs/>
          <w:color w:val="000000"/>
          <w:sz w:val="20"/>
          <w:szCs w:val="20"/>
        </w:rPr>
        <w:t>O contrato se extingue quando vencido o prazo nele estipulado, independentemente de terem sido cumpridas ou não as obrigações de ambas as partes contraentes.</w:t>
      </w:r>
    </w:p>
    <w:p>
      <w:pPr>
        <w:pStyle w:val="Normal"/>
        <w:numPr>
          <w:ilvl w:val="1"/>
          <w:numId w:val="90"/>
        </w:numPr>
        <w:spacing w:lineRule="auto" w:line="276" w:before="120" w:after="120"/>
        <w:jc w:val="both"/>
        <w:rPr>
          <w:rFonts w:ascii="Arial" w:hAnsi="Arial" w:cs="Arial"/>
          <w:sz w:val="20"/>
          <w:szCs w:val="20"/>
        </w:rPr>
      </w:pPr>
      <w:r>
        <w:rPr>
          <w:rFonts w:cs="Arial" w:ascii="Arial" w:hAnsi="Arial"/>
          <w:sz w:val="20"/>
          <w:szCs w:val="20"/>
        </w:rPr>
        <w:t xml:space="preserve">O contrato pode ser extinto antes de cumpridas as obrigações nele estipuladas, ou antes do prazo nele fixado, por algum dos motivos previstos no artigo 137 da NLLC, bem como amigavelmente, </w:t>
      </w:r>
      <w:r>
        <w:rPr>
          <w:rFonts w:cs="Arial" w:ascii="Arial" w:hAnsi="Arial"/>
          <w:color w:val="000000"/>
          <w:sz w:val="20"/>
          <w:szCs w:val="20"/>
        </w:rPr>
        <w:t>assegurados o contraditório e a ampla defesa</w:t>
      </w:r>
      <w:r>
        <w:rPr>
          <w:rFonts w:cs="Arial" w:ascii="Arial" w:hAnsi="Arial"/>
          <w:sz w:val="20"/>
          <w:szCs w:val="20"/>
        </w:rPr>
        <w:t>.</w:t>
      </w:r>
    </w:p>
    <w:p>
      <w:pPr>
        <w:pStyle w:val="Normal"/>
        <w:numPr>
          <w:ilvl w:val="2"/>
          <w:numId w:val="91"/>
        </w:numPr>
        <w:spacing w:lineRule="auto" w:line="276" w:before="120" w:after="120"/>
        <w:jc w:val="both"/>
        <w:rPr>
          <w:rFonts w:ascii="Arial" w:hAnsi="Arial" w:cs="Arial"/>
          <w:sz w:val="20"/>
          <w:szCs w:val="20"/>
        </w:rPr>
      </w:pPr>
      <w:r>
        <w:rPr>
          <w:rFonts w:cs="Arial" w:ascii="Arial" w:hAnsi="Arial"/>
          <w:sz w:val="20"/>
          <w:szCs w:val="20"/>
        </w:rPr>
        <w:t>Nesta hipótese, aplicam-se também os artigos 138 e 139 da mesma Lei.</w:t>
      </w:r>
    </w:p>
    <w:p>
      <w:pPr>
        <w:pStyle w:val="Normal"/>
        <w:numPr>
          <w:ilvl w:val="2"/>
          <w:numId w:val="92"/>
        </w:numPr>
        <w:spacing w:lineRule="auto" w:line="276" w:before="120" w:after="120"/>
        <w:jc w:val="both"/>
        <w:rPr>
          <w:rFonts w:ascii="Arial" w:hAnsi="Arial" w:cs="Arial"/>
          <w:sz w:val="20"/>
          <w:szCs w:val="20"/>
        </w:rPr>
      </w:pPr>
      <w:r>
        <w:rPr>
          <w:rFonts w:cs="Arial" w:ascii="Arial" w:hAnsi="Arial"/>
          <w:sz w:val="20"/>
          <w:szCs w:val="20"/>
        </w:rPr>
        <w:t xml:space="preserve">A </w:t>
      </w:r>
      <w:r>
        <w:rPr>
          <w:rFonts w:cs="Arial" w:ascii="Arial" w:hAnsi="Arial"/>
          <w:color w:val="000000"/>
          <w:sz w:val="20"/>
          <w:szCs w:val="20"/>
        </w:rPr>
        <w:t>alteração social ou modificação da finalidade ou da estrutura da empresa</w:t>
      </w:r>
      <w:r>
        <w:rPr>
          <w:rFonts w:cs="Arial" w:ascii="Arial" w:hAnsi="Arial"/>
          <w:sz w:val="20"/>
          <w:szCs w:val="20"/>
        </w:rPr>
        <w:t xml:space="preserve"> não ensejará rescisão se não </w:t>
      </w:r>
      <w:r>
        <w:rPr>
          <w:rFonts w:cs="Arial" w:ascii="Arial" w:hAnsi="Arial"/>
          <w:color w:val="000000"/>
          <w:sz w:val="20"/>
          <w:szCs w:val="20"/>
        </w:rPr>
        <w:t>restringir sua capacidade de concluir o contrato.</w:t>
      </w:r>
    </w:p>
    <w:p>
      <w:pPr>
        <w:pStyle w:val="Normal"/>
        <w:numPr>
          <w:ilvl w:val="3"/>
          <w:numId w:val="93"/>
        </w:numPr>
        <w:spacing w:lineRule="auto" w:line="276" w:before="120" w:after="120"/>
        <w:jc w:val="both"/>
        <w:rPr>
          <w:rFonts w:ascii="Arial" w:hAnsi="Arial" w:cs="Arial"/>
          <w:sz w:val="20"/>
          <w:szCs w:val="20"/>
        </w:rPr>
      </w:pPr>
      <w:r>
        <w:rPr>
          <w:rFonts w:cs="Arial" w:ascii="Arial" w:hAnsi="Arial"/>
          <w:color w:val="000000"/>
          <w:sz w:val="20"/>
          <w:szCs w:val="20"/>
        </w:rPr>
        <w:t xml:space="preserve">Se a operação </w:t>
      </w:r>
      <w:r>
        <w:rPr>
          <w:rFonts w:cs="Arial" w:ascii="Arial" w:hAnsi="Arial"/>
          <w:sz w:val="20"/>
          <w:szCs w:val="20"/>
        </w:rPr>
        <w:t>implicar mudança da pessoa jurídica contratada, deverá ser formalizado termo aditivo para alteração subjetiva.</w:t>
      </w:r>
    </w:p>
    <w:p>
      <w:pPr>
        <w:pStyle w:val="Normal"/>
        <w:numPr>
          <w:ilvl w:val="1"/>
          <w:numId w:val="94"/>
        </w:numPr>
        <w:spacing w:lineRule="auto" w:line="276" w:before="120" w:after="120"/>
        <w:jc w:val="both"/>
        <w:rPr>
          <w:rFonts w:ascii="Arial" w:hAnsi="Arial" w:cs="Arial"/>
          <w:sz w:val="20"/>
          <w:szCs w:val="20"/>
        </w:rPr>
      </w:pPr>
      <w:r>
        <w:rPr>
          <w:rFonts w:cs="Arial" w:ascii="Arial" w:hAnsi="Arial"/>
          <w:sz w:val="20"/>
          <w:szCs w:val="20"/>
        </w:rPr>
        <w:t>O termo de rescisão, sempre que possível, será precedido:</w:t>
      </w:r>
    </w:p>
    <w:p>
      <w:pPr>
        <w:pStyle w:val="Normal"/>
        <w:numPr>
          <w:ilvl w:val="2"/>
          <w:numId w:val="95"/>
        </w:numPr>
        <w:spacing w:lineRule="auto" w:line="276" w:before="120" w:after="120"/>
        <w:jc w:val="both"/>
        <w:rPr>
          <w:rFonts w:ascii="Arial" w:hAnsi="Arial" w:cs="Arial"/>
          <w:sz w:val="20"/>
          <w:szCs w:val="20"/>
        </w:rPr>
      </w:pPr>
      <w:r>
        <w:rPr>
          <w:rFonts w:cs="Arial" w:ascii="Arial" w:hAnsi="Arial"/>
          <w:sz w:val="20"/>
          <w:szCs w:val="20"/>
        </w:rPr>
        <w:t>Balanço dos eventos contratuais já cumpridos ou parcialmente cumpridos;</w:t>
      </w:r>
    </w:p>
    <w:p>
      <w:pPr>
        <w:pStyle w:val="Normal"/>
        <w:numPr>
          <w:ilvl w:val="2"/>
          <w:numId w:val="96"/>
        </w:numPr>
        <w:spacing w:lineRule="auto" w:line="276" w:before="120" w:after="120"/>
        <w:jc w:val="both"/>
        <w:rPr>
          <w:rFonts w:ascii="Arial" w:hAnsi="Arial" w:cs="Arial"/>
          <w:sz w:val="20"/>
          <w:szCs w:val="20"/>
        </w:rPr>
      </w:pPr>
      <w:r>
        <w:rPr>
          <w:rFonts w:cs="Arial" w:ascii="Arial" w:hAnsi="Arial"/>
          <w:sz w:val="20"/>
          <w:szCs w:val="20"/>
        </w:rPr>
        <w:t>Relação dos pagamentos já efetuados e ainda devidos;</w:t>
      </w:r>
    </w:p>
    <w:p>
      <w:pPr>
        <w:pStyle w:val="Normal"/>
        <w:numPr>
          <w:ilvl w:val="2"/>
          <w:numId w:val="97"/>
        </w:numPr>
        <w:spacing w:lineRule="auto" w:line="276" w:before="120" w:after="120"/>
        <w:jc w:val="both"/>
        <w:rPr>
          <w:rFonts w:ascii="Arial" w:hAnsi="Arial" w:cs="Arial"/>
          <w:sz w:val="20"/>
          <w:szCs w:val="20"/>
          <w:lang w:eastAsia="pt-BR"/>
        </w:rPr>
      </w:pPr>
      <w:r>
        <w:rPr>
          <w:rFonts w:cs="Arial" w:ascii="Arial" w:hAnsi="Arial"/>
          <w:sz w:val="20"/>
          <w:szCs w:val="20"/>
        </w:rPr>
        <w:t>Indenizações e multas.</w:t>
      </w:r>
    </w:p>
    <w:p>
      <w:pPr>
        <w:pStyle w:val="Nivel01Titulo"/>
        <w:numPr>
          <w:ilvl w:val="0"/>
          <w:numId w:val="1"/>
        </w:numPr>
        <w:rPr>
          <w:rFonts w:cs="Arial"/>
        </w:rPr>
      </w:pPr>
      <w:r>
        <w:rPr>
          <w:rFonts w:cs="Arial"/>
        </w:rPr>
        <w:t>CLÁUSULA DÉCIMA TERCEIRA – DOTAÇÃO ORÇAMENTÁRIA (art. 92, VIII)</w:t>
      </w:r>
    </w:p>
    <w:p>
      <w:pPr>
        <w:pStyle w:val="Normal"/>
        <w:numPr>
          <w:ilvl w:val="1"/>
          <w:numId w:val="98"/>
        </w:numPr>
        <w:spacing w:lineRule="auto" w:line="276" w:before="120" w:after="120"/>
        <w:jc w:val="both"/>
        <w:rPr>
          <w:rFonts w:ascii="Arial" w:hAnsi="Arial" w:cs="Arial"/>
          <w:sz w:val="20"/>
          <w:szCs w:val="20"/>
        </w:rPr>
      </w:pPr>
      <w:r>
        <w:rPr>
          <w:rFonts w:cs="Arial" w:ascii="Arial" w:hAnsi="Arial"/>
          <w:sz w:val="20"/>
          <w:szCs w:val="20"/>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120" w:after="120"/>
        <w:ind w:left="1211" w:hanging="0"/>
        <w:jc w:val="both"/>
        <w:rPr>
          <w:rFonts w:ascii="Arial" w:hAnsi="Arial" w:cs="Arial"/>
          <w:sz w:val="20"/>
          <w:szCs w:val="20"/>
        </w:rPr>
      </w:pPr>
      <w:r>
        <w:rPr>
          <w:rFonts w:eastAsia="Calibri" w:cs="Arial" w:ascii="Arial" w:hAnsi="Arial" w:eastAsiaTheme="minorHAnsi"/>
          <w:i w:val="false"/>
          <w:iCs w:val="false"/>
          <w:strike w:val="false"/>
          <w:dstrike w:val="false"/>
          <w:color w:val="auto"/>
          <w:kern w:val="0"/>
          <w:sz w:val="20"/>
          <w:szCs w:val="20"/>
          <w:u w:val="none"/>
          <w:lang w:val="pt-BR" w:eastAsia="en-US" w:bidi="ar-SA"/>
        </w:rPr>
        <w:t>I) Gestão/Unidade: 00001/786700;</w:t>
      </w:r>
    </w:p>
    <w:p>
      <w:pPr>
        <w:pStyle w:val="Normal"/>
        <w:numPr>
          <w:ilvl w:val="0"/>
          <w:numId w:val="0"/>
        </w:numPr>
        <w:spacing w:lineRule="auto" w:line="276" w:before="120" w:after="120"/>
        <w:ind w:left="1211" w:hanging="0"/>
        <w:jc w:val="both"/>
        <w:rPr>
          <w:rFonts w:ascii="Arial" w:hAnsi="Arial" w:cs="Arial"/>
          <w:sz w:val="20"/>
          <w:szCs w:val="20"/>
        </w:rPr>
      </w:pPr>
      <w:r>
        <w:rPr>
          <w:rFonts w:eastAsia="Calibri" w:cs="Arial" w:ascii="Arial" w:hAnsi="Arial" w:eastAsiaTheme="minorHAnsi"/>
          <w:i w:val="false"/>
          <w:iCs w:val="false"/>
          <w:strike w:val="false"/>
          <w:dstrike w:val="false"/>
          <w:color w:val="auto"/>
          <w:kern w:val="0"/>
          <w:sz w:val="20"/>
          <w:szCs w:val="20"/>
          <w:u w:val="none"/>
          <w:lang w:val="pt-BR" w:eastAsia="en-US" w:bidi="ar-SA"/>
        </w:rPr>
        <w:t>II) Fonte de Recursos: 1000000000;</w:t>
      </w:r>
    </w:p>
    <w:p>
      <w:pPr>
        <w:pStyle w:val="Normal"/>
        <w:numPr>
          <w:ilvl w:val="0"/>
          <w:numId w:val="0"/>
        </w:numPr>
        <w:spacing w:lineRule="auto" w:line="276" w:before="120" w:after="120"/>
        <w:ind w:left="1211" w:hanging="0"/>
        <w:jc w:val="both"/>
        <w:rPr>
          <w:rFonts w:ascii="Arial" w:hAnsi="Arial" w:cs="Arial"/>
          <w:sz w:val="20"/>
          <w:szCs w:val="20"/>
        </w:rPr>
      </w:pPr>
      <w:r>
        <w:rPr>
          <w:rFonts w:eastAsia="Calibri" w:cs="Arial" w:ascii="Arial" w:hAnsi="Arial" w:eastAsiaTheme="minorHAnsi"/>
          <w:i w:val="false"/>
          <w:iCs w:val="false"/>
          <w:strike w:val="false"/>
          <w:dstrike w:val="false"/>
          <w:color w:val="auto"/>
          <w:kern w:val="0"/>
          <w:sz w:val="20"/>
          <w:szCs w:val="20"/>
          <w:u w:val="none"/>
          <w:lang w:val="pt-BR" w:eastAsia="en-US" w:bidi="ar-SA"/>
        </w:rPr>
        <w:t>III) Programa de Trabalho: 216838;</w:t>
      </w:r>
    </w:p>
    <w:p>
      <w:pPr>
        <w:pStyle w:val="Normal"/>
        <w:numPr>
          <w:ilvl w:val="0"/>
          <w:numId w:val="0"/>
        </w:numPr>
        <w:spacing w:lineRule="auto" w:line="276" w:before="120" w:after="120"/>
        <w:ind w:left="1211" w:hanging="0"/>
        <w:jc w:val="both"/>
        <w:rPr>
          <w:rFonts w:ascii="Arial" w:hAnsi="Arial" w:cs="Arial"/>
          <w:sz w:val="20"/>
          <w:szCs w:val="20"/>
        </w:rPr>
      </w:pPr>
      <w:r>
        <w:rPr>
          <w:rFonts w:eastAsia="Calibri" w:cs="Arial" w:ascii="Arial" w:hAnsi="Arial" w:eastAsiaTheme="minorHAnsi"/>
          <w:i w:val="false"/>
          <w:iCs w:val="false"/>
          <w:strike w:val="false"/>
          <w:dstrike w:val="false"/>
          <w:color w:val="auto"/>
          <w:kern w:val="0"/>
          <w:sz w:val="20"/>
          <w:szCs w:val="20"/>
          <w:u w:val="none"/>
          <w:lang w:val="pt-BR" w:eastAsia="en-US" w:bidi="ar-SA"/>
        </w:rPr>
        <w:t>IV) Elemento de Despesa: 339039-58; e</w:t>
      </w:r>
    </w:p>
    <w:p>
      <w:pPr>
        <w:pStyle w:val="Normal"/>
        <w:numPr>
          <w:ilvl w:val="0"/>
          <w:numId w:val="0"/>
        </w:numPr>
        <w:spacing w:lineRule="auto" w:line="276" w:before="120" w:after="120"/>
        <w:ind w:left="1211" w:hanging="0"/>
        <w:jc w:val="both"/>
        <w:rPr>
          <w:rFonts w:ascii="Arial" w:hAnsi="Arial" w:cs="Arial"/>
          <w:sz w:val="20"/>
          <w:szCs w:val="20"/>
        </w:rPr>
      </w:pPr>
      <w:r>
        <w:rPr>
          <w:rFonts w:eastAsia="Calibri" w:cs="Arial" w:ascii="Arial" w:hAnsi="Arial" w:eastAsiaTheme="minorHAnsi"/>
          <w:i w:val="false"/>
          <w:iCs w:val="false"/>
          <w:strike w:val="false"/>
          <w:dstrike w:val="false"/>
          <w:color w:val="auto"/>
          <w:kern w:val="0"/>
          <w:sz w:val="20"/>
          <w:szCs w:val="20"/>
          <w:u w:val="none"/>
          <w:lang w:val="pt-BR" w:eastAsia="en-US" w:bidi="ar-SA"/>
        </w:rPr>
        <w:t>V) Plano Interno: B.406.FC.002.C1.</w:t>
      </w:r>
    </w:p>
    <w:p>
      <w:pPr>
        <w:pStyle w:val="Normal"/>
        <w:numPr>
          <w:ilvl w:val="0"/>
          <w:numId w:val="0"/>
        </w:numPr>
        <w:spacing w:lineRule="auto" w:line="276" w:before="120" w:after="120"/>
        <w:ind w:left="1211" w:hanging="0"/>
        <w:jc w:val="both"/>
        <w:rPr>
          <w:rFonts w:ascii="Arial" w:hAnsi="Arial" w:cs="Arial"/>
          <w:sz w:val="20"/>
          <w:szCs w:val="20"/>
        </w:rPr>
      </w:pPr>
      <w:r>
        <w:rPr>
          <w:rFonts w:cs="Arial" w:ascii="Arial" w:hAnsi="Arial"/>
          <w:sz w:val="20"/>
          <w:szCs w:val="20"/>
        </w:rPr>
      </w:r>
    </w:p>
    <w:p>
      <w:pPr>
        <w:pStyle w:val="Normal"/>
        <w:numPr>
          <w:ilvl w:val="1"/>
          <w:numId w:val="99"/>
        </w:numPr>
        <w:spacing w:lineRule="auto" w:line="276" w:before="120" w:after="120"/>
        <w:jc w:val="both"/>
        <w:rPr>
          <w:color w:val="000000"/>
        </w:rPr>
      </w:pPr>
      <w:r>
        <w:rPr>
          <w:rFonts w:cs="Arial" w:ascii="Arial" w:hAnsi="Arial"/>
          <w:i/>
          <w:iCs/>
          <w:color w:val="000000"/>
          <w:sz w:val="20"/>
          <w:szCs w:val="20"/>
        </w:rPr>
        <w:t>A dotação relativa aos exercícios financeiros subsequentes será indicada após aprovação da Lei Orçamentária respectiva e liberação dos créditos correspondentes, mediante apostilamento.</w:t>
      </w:r>
    </w:p>
    <w:p>
      <w:pPr>
        <w:pStyle w:val="Nivel01Titulo"/>
        <w:numPr>
          <w:ilvl w:val="0"/>
          <w:numId w:val="1"/>
        </w:numPr>
        <w:rPr>
          <w:rFonts w:cs="Arial"/>
        </w:rPr>
      </w:pPr>
      <w:r>
        <w:rPr>
          <w:rFonts w:cs="Arial"/>
        </w:rPr>
        <w:t>CLÁUSULA DÉCIMA QUARTA – DOS CASOS OMISSOS (art. 92, III)</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Titulo"/>
        <w:numPr>
          <w:ilvl w:val="0"/>
          <w:numId w:val="1"/>
        </w:numPr>
        <w:rPr>
          <w:rFonts w:cs="Arial"/>
        </w:rPr>
      </w:pPr>
      <w:r>
        <w:rPr>
          <w:rFonts w:cs="Arial"/>
        </w:rPr>
        <w:t>CLÁUSULA DÉCIMA QUINTA – ALTERAÇÕES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Eventuais alterações contratuais reger-se-ão pela disciplina dos arts. 124 e seguintes da Lei nº 14.133, de 2021.</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é obrigada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jc w:val="both"/>
        <w:rPr>
          <w:rFonts w:ascii="Arial" w:hAnsi="Arial" w:cs="Arial"/>
          <w:sz w:val="20"/>
          <w:szCs w:val="20"/>
        </w:rPr>
      </w:pPr>
      <w:r>
        <w:rPr>
          <w:rFonts w:cs="Arial" w:ascii="Arial" w:hAnsi="Arial"/>
          <w:sz w:val="20"/>
          <w:szCs w:val="20"/>
        </w:rPr>
        <w:t>As supressões resultantes de acordo celebrado entre as partes contratantes poderão exceder o limite de 25% (vinte e cinco por cento) do valor inicial atualizado do termo de contrato.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Registros que não caracterizam alteração do contrato podem ser realizados por simples apostila, dispensada a celebração de termo aditivo, na forma do art. 136 da Lei nº 14.133, de 2021.</w:t>
      </w:r>
    </w:p>
    <w:p>
      <w:pPr>
        <w:pStyle w:val="Nivel01Titulo"/>
        <w:numPr>
          <w:ilvl w:val="0"/>
          <w:numId w:val="1"/>
        </w:numPr>
        <w:rPr>
          <w:rFonts w:cs="Arial"/>
        </w:rPr>
      </w:pPr>
      <w:r>
        <w:rPr>
          <w:rFonts w:cs="Arial"/>
        </w:rPr>
        <w:t>CLÁUSULA DÉCIMA SEXTA – PUBLICAÇÃO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Incumbirá à CONTRATANTE providenciar a publicação deste instrumento nos termos e condições previstas na Lei nº 14.133/21.</w:t>
      </w:r>
    </w:p>
    <w:p>
      <w:pPr>
        <w:pStyle w:val="Nivel01Titulo"/>
        <w:numPr>
          <w:ilvl w:val="0"/>
          <w:numId w:val="1"/>
        </w:numPr>
        <w:rPr>
          <w:rFonts w:cs="Arial"/>
        </w:rPr>
      </w:pPr>
      <w:r>
        <w:rPr>
          <w:rFonts w:cs="Arial"/>
        </w:rPr>
        <w:t>CLÁUSULA DÉCIMA SÉTIMA – FORO (art. 92, §1º)</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É eleito o Foro da Justiça Federal em </w:t>
      </w:r>
      <w:r>
        <w:rPr>
          <w:rFonts w:cs="Arial" w:ascii="Arial" w:hAnsi="Arial"/>
          <w:color w:val="FF0000"/>
          <w:sz w:val="20"/>
          <w:szCs w:val="20"/>
        </w:rPr>
        <w:t>......</w:t>
      </w:r>
      <w:r>
        <w:rPr>
          <w:rFonts w:cs="Arial" w:ascii="Arial" w:hAnsi="Arial"/>
          <w:sz w:val="20"/>
          <w:szCs w:val="20"/>
        </w:rPr>
        <w:t>, Seção Judiciária de</w:t>
      </w:r>
      <w:r>
        <w:rPr>
          <w:rFonts w:cs="Arial" w:ascii="Arial" w:hAnsi="Arial"/>
          <w:color w:val="FF0000"/>
          <w:sz w:val="20"/>
          <w:szCs w:val="20"/>
        </w:rPr>
        <w:t>......</w:t>
      </w:r>
      <w:r>
        <w:rPr>
          <w:rFonts w:cs="Arial" w:ascii="Arial" w:hAnsi="Arial"/>
          <w:sz w:val="20"/>
          <w:szCs w:val="20"/>
        </w:rPr>
        <w:t xml:space="preserve"> para dirimir os litígios que decorrerem da execução deste Termo de Contrato que não possam ser compostos pela conciliação, conforme art. 92, §1º da Lei nº 14.133/21. </w:t>
      </w:r>
    </w:p>
    <w:p>
      <w:pPr>
        <w:pStyle w:val="Normal"/>
        <w:rPr>
          <w:rFonts w:ascii="Arial" w:hAnsi="Arial" w:cs="Arial"/>
          <w:sz w:val="20"/>
          <w:szCs w:val="20"/>
          <w:lang w:eastAsia="pt-BR"/>
        </w:rPr>
      </w:pPr>
      <w:r>
        <w:rPr>
          <w:rFonts w:cs="Arial" w:ascii="Arial" w:hAnsi="Arial"/>
          <w:sz w:val="20"/>
          <w:szCs w:val="20"/>
          <w:lang w:eastAsia="pt-BR"/>
        </w:rPr>
      </w:r>
    </w:p>
    <w:p>
      <w:pPr>
        <w:pStyle w:val="Normal"/>
        <w:spacing w:lineRule="auto" w:line="360" w:before="0" w:after="120"/>
        <w:ind w:right="-15" w:firstLine="540"/>
        <w:jc w:val="both"/>
        <w:rPr>
          <w:rFonts w:ascii="Arial" w:hAnsi="Arial" w:cs="Arial"/>
          <w:sz w:val="20"/>
          <w:szCs w:val="20"/>
        </w:rPr>
      </w:pPr>
      <w:r>
        <w:rPr>
          <w:rFonts w:cs="Arial" w:ascii="Arial" w:hAnsi="Arial"/>
          <w:sz w:val="20"/>
          <w:szCs w:val="20"/>
        </w:rPr>
      </w:r>
    </w:p>
    <w:p>
      <w:pPr>
        <w:pStyle w:val="Normal"/>
        <w:spacing w:lineRule="auto" w:line="360" w:before="0" w:after="120"/>
        <w:ind w:right="-15" w:hanging="0"/>
        <w:jc w:val="both"/>
        <w:rPr>
          <w:rFonts w:ascii="Arial" w:hAnsi="Arial" w:cs="Arial"/>
          <w:sz w:val="20"/>
          <w:szCs w:val="20"/>
        </w:rPr>
      </w:pPr>
      <w:r>
        <w:rPr>
          <w:rFonts w:cs="Arial" w:ascii="Arial" w:hAnsi="Arial"/>
          <w:sz w:val="20"/>
          <w:szCs w:val="20"/>
        </w:rPr>
        <w:t>...........................................,  .......... de.......................................... de 20.....</w:t>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center"/>
        <w:rPr>
          <w:rFonts w:ascii="Arial" w:hAnsi="Arial" w:cs="Arial"/>
          <w:bCs/>
          <w:sz w:val="20"/>
          <w:szCs w:val="20"/>
        </w:rPr>
      </w:pPr>
      <w:r>
        <w:rPr>
          <w:rFonts w:cs="Arial" w:ascii="Arial" w:hAnsi="Arial"/>
          <w:bCs/>
          <w:sz w:val="20"/>
          <w:szCs w:val="20"/>
        </w:rPr>
        <w:t>_________________________</w:t>
      </w:r>
    </w:p>
    <w:p>
      <w:pPr>
        <w:pStyle w:val="Normal"/>
        <w:spacing w:before="0" w:after="120"/>
        <w:jc w:val="center"/>
        <w:rPr>
          <w:rFonts w:ascii="Arial" w:hAnsi="Arial" w:cs="Arial"/>
          <w:bCs/>
          <w:sz w:val="20"/>
          <w:szCs w:val="20"/>
        </w:rPr>
      </w:pPr>
      <w:r>
        <w:rPr>
          <w:rFonts w:cs="Arial" w:ascii="Arial" w:hAnsi="Arial"/>
          <w:bCs/>
          <w:sz w:val="20"/>
          <w:szCs w:val="20"/>
        </w:rPr>
        <w:t>Representante legal do CONTRATANTE</w:t>
      </w:r>
    </w:p>
    <w:p>
      <w:pPr>
        <w:pStyle w:val="Normal"/>
        <w:spacing w:before="0" w:after="120"/>
        <w:jc w:val="center"/>
        <w:rPr>
          <w:rFonts w:ascii="Arial" w:hAnsi="Arial" w:cs="Arial"/>
          <w:sz w:val="20"/>
          <w:szCs w:val="20"/>
        </w:rPr>
      </w:pPr>
      <w:r>
        <w:rPr>
          <w:rFonts w:cs="Arial" w:ascii="Arial" w:hAnsi="Arial"/>
          <w:sz w:val="20"/>
          <w:szCs w:val="20"/>
        </w:rPr>
        <w:t>_________________________</w:t>
      </w:r>
    </w:p>
    <w:p>
      <w:pPr>
        <w:pStyle w:val="Normal"/>
        <w:spacing w:before="0" w:after="120"/>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before="0" w:after="120"/>
        <w:jc w:val="both"/>
        <w:rPr>
          <w:rFonts w:ascii="Arial" w:hAnsi="Arial" w:cs="Arial"/>
          <w:i/>
          <w:i/>
          <w:iCs/>
          <w:color w:val="FF0000"/>
          <w:sz w:val="20"/>
          <w:szCs w:val="20"/>
        </w:rPr>
      </w:pPr>
      <w:r>
        <w:rPr>
          <w:rFonts w:cs="Arial" w:ascii="Arial" w:hAnsi="Arial"/>
          <w:i/>
          <w:iCs/>
          <w:color w:val="FF0000"/>
          <w:sz w:val="20"/>
          <w:szCs w:val="20"/>
        </w:rPr>
        <w:t>TESTEMUNHAS:</w:t>
      </w:r>
    </w:p>
    <w:p>
      <w:pPr>
        <w:pStyle w:val="Normal"/>
        <w:rPr>
          <w:rFonts w:ascii="Arial" w:hAnsi="Arial" w:cs="Arial"/>
          <w:i/>
          <w:i/>
          <w:iCs/>
          <w:color w:val="FF0000"/>
          <w:sz w:val="20"/>
          <w:szCs w:val="20"/>
        </w:rPr>
      </w:pPr>
      <w:r>
        <w:rPr>
          <w:rFonts w:cs="Arial" w:ascii="Arial" w:hAnsi="Arial"/>
          <w:i/>
          <w:iCs/>
          <w:color w:val="FF0000"/>
          <w:sz w:val="20"/>
          <w:szCs w:val="20"/>
        </w:rPr>
        <w:t>1-</w:t>
      </w:r>
    </w:p>
    <w:p>
      <w:pPr>
        <w:pStyle w:val="Normal"/>
        <w:rPr>
          <w:rFonts w:ascii="Arial" w:hAnsi="Arial" w:cs="Arial"/>
          <w:i/>
          <w:i/>
          <w:iCs/>
          <w:color w:val="FF0000"/>
          <w:sz w:val="20"/>
          <w:szCs w:val="20"/>
        </w:rPr>
      </w:pPr>
      <w:r>
        <w:rPr>
          <w:rFonts w:cs="Arial" w:ascii="Arial" w:hAnsi="Arial"/>
          <w:i/>
          <w:iCs/>
          <w:color w:val="FF0000"/>
          <w:sz w:val="20"/>
          <w:szCs w:val="20"/>
        </w:rPr>
        <w:t xml:space="preserve">2- </w:t>
      </w:r>
    </w:p>
    <w:p>
      <w:pPr>
        <w:pStyle w:val="Normal"/>
        <w:spacing w:before="0" w:after="120"/>
        <w:jc w:val="center"/>
        <w:rPr>
          <w:rFonts w:ascii="Arial" w:hAnsi="Arial" w:cs="Arial"/>
          <w:sz w:val="20"/>
          <w:szCs w:val="20"/>
        </w:rPr>
      </w:pPr>
      <w:r>
        <w:rPr/>
      </w:r>
    </w:p>
    <w:sectPr>
      <w:footerReference w:type="default" r:id="rId3"/>
      <w:type w:val="nextPage"/>
      <w:pgSz w:w="11906" w:h="16838"/>
      <w:pgMar w:left="1701" w:right="1701" w:header="0" w:top="1417" w:footer="708"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rlito">
    <w:altName w:val="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Minuta Contratual – Lei nº 14.133/21 – Contratação Direta – Serviços sem Dedicação Exclusiva de Mão-de-Obra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3">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lvl w:ilvl="0">
      <w:start w:val="1"/>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fals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lvl w:ilvl="0">
      <w:start w:val="1"/>
      <w:numFmt w:val="decimal"/>
      <w:lvlText w:val="(%1)"/>
      <w:lvlJc w:val="left"/>
      <w:pPr>
        <w:ind w:left="144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fals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lvl w:ilvl="0">
      <w:start w:val="1"/>
      <w:numFmt w:val="decimal"/>
      <w:lvlText w:val="(%1)"/>
      <w:lvlJc w:val="left"/>
      <w:pPr>
        <w:ind w:left="144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fals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lvl w:ilvl="0">
      <w:start w:val="1"/>
      <w:numFmt w:val="decimal"/>
      <w:lvlText w:val="(%1)"/>
      <w:lvlJc w:val="left"/>
      <w:pPr>
        <w:ind w:left="144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fals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lvl w:ilvl="0">
      <w:start w:val="1"/>
      <w:numFmt w:val="decimal"/>
      <w:lvlText w:val="(%1)"/>
      <w:lvlJc w:val="left"/>
      <w:pPr>
        <w:ind w:left="144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fals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lvl w:ilvl="0">
      <w:start w:val="1"/>
      <w:numFmt w:val="decimal"/>
      <w:lvlText w:val="(%1)"/>
      <w:lvlJc w:val="left"/>
      <w:pPr>
        <w:ind w:left="144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fals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lvl w:ilvl="0">
      <w:start w:val="1"/>
      <w:numFmt w:val="decimal"/>
      <w:lvlText w:val="%1."/>
      <w:lvlJc w:val="left"/>
      <w:pPr>
        <w:ind w:left="360" w:hanging="360"/>
      </w:pPr>
      <w:rPr>
        <w:i w:val="false"/>
        <w:b w:val="false"/>
      </w:rPr>
    </w:lvl>
    <w:lvl w:ilvl="1">
      <w:start w:val="1"/>
      <w:numFmt w:val="decimal"/>
      <w:suff w:val="space"/>
      <w:lvlText w:val="%1.%2."/>
      <w:lvlJc w:val="left"/>
      <w:pPr>
        <w:ind w:left="426" w:hanging="0"/>
      </w:pPr>
      <w:rPr>
        <w:i w:val="false"/>
        <w:b w:val="false"/>
        <w:color w:val="auto"/>
      </w:rPr>
    </w:lvl>
    <w:lvl w:ilvl="2">
      <w:start w:val="1"/>
      <w:numFmt w:val="decimal"/>
      <w:suff w:val="space"/>
      <w:lvlText w:val="%1.%2.%3."/>
      <w:lvlJc w:val="left"/>
      <w:pPr>
        <w:ind w:left="1135" w:hanging="0"/>
      </w:pPr>
      <w:rPr>
        <w:i w:val="false"/>
        <w:b w:val="false"/>
        <w:color w:val="auto"/>
      </w:rPr>
    </w:lvl>
    <w:lvl w:ilvl="3">
      <w:start w:val="1"/>
      <w:numFmt w:val="decimal"/>
      <w:suff w:val="space"/>
      <w:lvlText w:val="%1.%2.%3.%4."/>
      <w:lvlJc w:val="left"/>
      <w:pPr>
        <w:ind w:left="1702" w:hanging="0"/>
      </w:pPr>
      <w:rPr>
        <w:i w:val="false"/>
        <w:b w:val="false"/>
        <w:bCs/>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55">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56">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57">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58">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59">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0">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1">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2">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3">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4">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5">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6">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7">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8">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69">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70">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71">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72">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73">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74">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75">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76">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77">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78">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79">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80">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81">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82">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83">
    <w:abstractNumId w:val="5"/>
    <w:lvlOverride w:ilvl="0">
      <w:lvl w:ilvl="0">
        <w:start w:val="19"/>
        <w:numFmt w:val="decimal"/>
        <w:lvlText w:val="%1."/>
        <w:lvlJc w:val="left"/>
        <w:pPr>
          <w:ind w:left="360" w:hanging="360"/>
        </w:pPr>
      </w:lvl>
    </w:lvlOverride>
    <w:lvlOverride w:ilvl="1">
      <w:lvl w:ilvl="1">
        <w:start w:val="1"/>
        <w:numFmt w:val="decimal"/>
        <w:lvlText w:val="%1.%2."/>
        <w:lvlJc w:val="left"/>
        <w:pPr>
          <w:ind w:left="792" w:hanging="432"/>
        </w:pPr>
        <w:rPr>
          <w:i w:val="false"/>
          <w:b w:val="false"/>
        </w:rPr>
      </w:lvl>
    </w:lvlOverride>
    <w:lvlOverride w:ilvl="2">
      <w:lvl w:ilvl="2">
        <w:start w:val="1"/>
        <w:numFmt w:val="lowerLetter"/>
        <w:lvlText w:val="%3)"/>
        <w:lvlJc w:val="left"/>
        <w:pPr>
          <w:ind w:left="1224" w:hanging="504"/>
        </w:pPr>
        <w:rPr>
          <w:b w:val="false"/>
        </w:rPr>
      </w:lvl>
    </w:lvlOverride>
  </w:num>
  <w:num w:numId="84">
    <w:abstractNumId w:val="6"/>
    <w:lvlOverride w:ilvl="0">
      <w:lvl w:ilvl="0">
        <w:start w:val="1"/>
        <w:numFmt w:val="decimal"/>
        <w:lvlText w:val="(%1)"/>
        <w:lvlJc w:val="left"/>
        <w:pPr>
          <w:ind w:left="1440" w:hanging="360"/>
        </w:pPr>
      </w:lvl>
    </w:lvlOverride>
    <w:lvlOverride w:ilvl="3">
      <w:lvl w:ilvl="3">
        <w:start w:val="1"/>
        <w:numFmt w:val="decimal"/>
        <w:lvlText w:val="(%4)"/>
        <w:lvlJc w:val="left"/>
        <w:pPr>
          <w:ind w:left="1440" w:hanging="360"/>
        </w:pPr>
        <w:rPr>
          <w:i w:val="false"/>
        </w:rPr>
      </w:lvl>
    </w:lvlOverride>
  </w:num>
  <w:num w:numId="85">
    <w:abstractNumId w:val="6"/>
    <w:lvlOverride w:ilvl="0">
      <w:lvl w:ilvl="0">
        <w:start w:val="1"/>
        <w:numFmt w:val="decimal"/>
        <w:lvlText w:val="(%1)"/>
        <w:lvlJc w:val="left"/>
        <w:pPr>
          <w:ind w:left="1440" w:hanging="360"/>
        </w:pPr>
      </w:lvl>
    </w:lvlOverride>
    <w:lvlOverride w:ilvl="3">
      <w:lvl w:ilvl="3">
        <w:start w:val="1"/>
        <w:numFmt w:val="decimal"/>
        <w:lvlText w:val="(%4)"/>
        <w:lvlJc w:val="left"/>
        <w:pPr>
          <w:ind w:left="1440" w:hanging="360"/>
        </w:pPr>
        <w:rPr>
          <w:i w:val="false"/>
        </w:rPr>
      </w:lvl>
    </w:lvlOverride>
  </w:num>
  <w:num w:numId="86">
    <w:abstractNumId w:val="6"/>
    <w:lvlOverride w:ilvl="0">
      <w:lvl w:ilvl="0">
        <w:start w:val="1"/>
        <w:numFmt w:val="decimal"/>
        <w:lvlText w:val="(%1)"/>
        <w:lvlJc w:val="left"/>
        <w:pPr>
          <w:ind w:left="1440" w:hanging="360"/>
        </w:pPr>
      </w:lvl>
    </w:lvlOverride>
    <w:lvlOverride w:ilvl="3">
      <w:lvl w:ilvl="3">
        <w:start w:val="1"/>
        <w:numFmt w:val="decimal"/>
        <w:lvlText w:val="(%4)"/>
        <w:lvlJc w:val="left"/>
        <w:pPr>
          <w:ind w:left="1440" w:hanging="360"/>
        </w:pPr>
        <w:rPr>
          <w:i w:val="false"/>
        </w:rPr>
      </w:lvl>
    </w:lvlOverride>
  </w:num>
  <w:num w:numId="87">
    <w:abstractNumId w:val="6"/>
    <w:lvlOverride w:ilvl="0">
      <w:lvl w:ilvl="0">
        <w:start w:val="1"/>
        <w:numFmt w:val="decimal"/>
        <w:lvlText w:val="(%1)"/>
        <w:lvlJc w:val="left"/>
        <w:pPr>
          <w:ind w:left="1440" w:hanging="360"/>
        </w:pPr>
      </w:lvl>
    </w:lvlOverride>
    <w:lvlOverride w:ilvl="3">
      <w:lvl w:ilvl="3">
        <w:start w:val="1"/>
        <w:numFmt w:val="decimal"/>
        <w:lvlText w:val="(%4)"/>
        <w:lvlJc w:val="left"/>
        <w:pPr>
          <w:ind w:left="1440" w:hanging="360"/>
        </w:pPr>
        <w:rPr>
          <w:i w:val="false"/>
        </w:rPr>
      </w:lvl>
    </w:lvlOverride>
  </w:num>
  <w:num w:numId="88">
    <w:abstractNumId w:val="6"/>
    <w:lvlOverride w:ilvl="0">
      <w:lvl w:ilvl="0">
        <w:start w:val="1"/>
        <w:numFmt w:val="decimal"/>
        <w:lvlText w:val="(%1)"/>
        <w:lvlJc w:val="left"/>
        <w:pPr>
          <w:ind w:left="1440" w:hanging="360"/>
        </w:pPr>
      </w:lvl>
    </w:lvlOverride>
    <w:lvlOverride w:ilvl="3">
      <w:lvl w:ilvl="3">
        <w:start w:val="1"/>
        <w:numFmt w:val="decimal"/>
        <w:lvlText w:val="(%4)"/>
        <w:lvlJc w:val="left"/>
        <w:pPr>
          <w:ind w:left="1440" w:hanging="360"/>
        </w:pPr>
        <w:rPr>
          <w:i w:val="false"/>
        </w:rPr>
      </w:lvl>
    </w:lvlOverride>
  </w:num>
  <w:num w:numId="89">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0">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1">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2">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3">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4">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5">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6">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7">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8">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 w:numId="99">
    <w:abstractNumId w:val="1"/>
    <w:lvlOverride w:ilvl="0">
      <w:lvl w:ilvl="0">
        <w:start w:val="1"/>
        <w:numFmt w:val="decimal"/>
        <w:lvlText w:val="%1."/>
        <w:lvlJc w:val="left"/>
        <w:pPr>
          <w:ind w:left="360" w:hanging="360"/>
        </w:pPr>
        <w:rPr>
          <w:i w:val="false"/>
          <w:b w:val="false"/>
        </w:rPr>
      </w:lvl>
    </w:lvlOverride>
    <w:lvlOverride w:ilvl="1">
      <w:lvl w:ilvl="1">
        <w:start w:val="1"/>
        <w:numFmt w:val="decimal"/>
        <w:suff w:val="space"/>
        <w:lvlText w:val="%1.%2."/>
        <w:lvlJc w:val="left"/>
        <w:pPr>
          <w:ind w:left="426" w:hanging="0"/>
        </w:pPr>
        <w:rPr>
          <w:i w:val="false"/>
          <w:b w:val="false"/>
          <w:color w:val="auto"/>
        </w:rPr>
      </w:lvl>
    </w:lvlOverride>
    <w:lvlOverride w:ilvl="2">
      <w:lvl w:ilvl="2">
        <w:start w:val="1"/>
        <w:numFmt w:val="decimal"/>
        <w:suff w:val="space"/>
        <w:lvlText w:val="%1.%2.%3."/>
        <w:lvlJc w:val="left"/>
        <w:pPr>
          <w:ind w:left="1135" w:hanging="0"/>
        </w:pPr>
        <w:rPr>
          <w:i w:val="false"/>
          <w:b w:val="false"/>
          <w:color w:val="auto"/>
        </w:rPr>
      </w:lvl>
    </w:lvlOverride>
    <w:lvlOverride w:ilvl="3">
      <w:lvl w:ilvl="3">
        <w:start w:val="1"/>
        <w:numFmt w:val="decimal"/>
        <w:suff w:val="space"/>
        <w:lvlText w:val="%1.%2.%3.%4."/>
        <w:lvlJc w:val="left"/>
        <w:pPr>
          <w:ind w:left="1702" w:hanging="0"/>
        </w:pPr>
        <w:rPr>
          <w:i w:val="false"/>
          <w:b w:val="false"/>
          <w:bCs/>
        </w:rPr>
      </w:lvl>
    </w:lvlOverride>
    <w:lvlOverride w:ilvl="4">
      <w:lvl w:ilvl="4">
        <w:start w:val="1"/>
        <w:numFmt w:val="decimal"/>
        <w:suff w:val="space"/>
        <w:lvlText w:val="%1.%2.%3.%4.%5."/>
        <w:lvlJc w:val="left"/>
        <w:pPr>
          <w:ind w:left="1134" w:hanging="0"/>
        </w:pPr>
        <w:rPr>
          <w:i w:val="false"/>
          <w:b/>
        </w:rPr>
      </w:lvl>
    </w:lvlOverride>
  </w:num>
</w:numbering>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671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d96ec9"/>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397ef2"/>
    <w:rPr/>
  </w:style>
  <w:style w:type="character" w:styleId="RodapChar" w:customStyle="1">
    <w:name w:val="Rodapé Char"/>
    <w:basedOn w:val="DefaultParagraphFont"/>
    <w:uiPriority w:val="99"/>
    <w:qFormat/>
    <w:rsid w:val="00397ef2"/>
    <w:rPr/>
  </w:style>
  <w:style w:type="character" w:styleId="GradeColoridanfase1Char" w:customStyle="1">
    <w:name w:val="Grade Colorida - Ênfase 1 Char"/>
    <w:link w:val="GradeColoridanfase11"/>
    <w:uiPriority w:val="29"/>
    <w:qFormat/>
    <w:rsid w:val="00d96ec9"/>
    <w:rPr>
      <w:rFonts w:ascii="Arial" w:hAnsi="Arial" w:eastAsia="Calibri" w:cs="Times New Roman"/>
      <w:i/>
      <w:iCs/>
      <w:color w:val="000000"/>
      <w:sz w:val="20"/>
      <w:szCs w:val="24"/>
      <w:shd w:fill="FFFFCC" w:val="clear"/>
      <w:lang w:val="x-none"/>
    </w:rPr>
  </w:style>
  <w:style w:type="character" w:styleId="Nivel01TituloChar" w:customStyle="1">
    <w:name w:val="Nivel_01_Titulo Char"/>
    <w:basedOn w:val="Ttulo1Char"/>
    <w:link w:val="Nivel01Titulo"/>
    <w:qFormat/>
    <w:rsid w:val="00d96ec9"/>
    <w:rPr>
      <w:rFonts w:ascii="Arial" w:hAnsi="Arial" w:eastAsia="" w:cs="Times New Roman" w:eastAsiaTheme="majorEastAsia"/>
      <w:b/>
      <w:bCs/>
      <w:color w:val="2F5496" w:themeColor="accent1" w:themeShade="bf"/>
      <w:sz w:val="20"/>
      <w:szCs w:val="20"/>
      <w:lang w:eastAsia="pt-BR"/>
    </w:rPr>
  </w:style>
  <w:style w:type="character" w:styleId="Ttulo1Char" w:customStyle="1">
    <w:name w:val="Título 1 Char"/>
    <w:basedOn w:val="DefaultParagraphFont"/>
    <w:uiPriority w:val="9"/>
    <w:qFormat/>
    <w:rsid w:val="00d96ec9"/>
    <w:rPr>
      <w:rFonts w:ascii="Calibri Light" w:hAnsi="Calibri Light" w:eastAsia="" w:cs="" w:asciiTheme="majorHAnsi" w:cstheme="majorBidi" w:eastAsiaTheme="majorEastAsia" w:hAnsiTheme="majorHAnsi"/>
      <w:color w:val="2F5496" w:themeColor="accent1" w:themeShade="bf"/>
      <w:sz w:val="32"/>
      <w:szCs w:val="32"/>
    </w:rPr>
  </w:style>
  <w:style w:type="character" w:styleId="TextodecomentrioChar" w:customStyle="1">
    <w:name w:val="Texto de comentário Char"/>
    <w:basedOn w:val="DefaultParagraphFont"/>
    <w:link w:val="Annotationtext"/>
    <w:uiPriority w:val="99"/>
    <w:qFormat/>
    <w:rsid w:val="006e7af1"/>
    <w:rPr>
      <w:sz w:val="20"/>
      <w:szCs w:val="20"/>
    </w:rPr>
  </w:style>
  <w:style w:type="character" w:styleId="CitaoChar" w:customStyle="1">
    <w:name w:val="Citação Char"/>
    <w:basedOn w:val="DefaultParagraphFont"/>
    <w:link w:val="Quote"/>
    <w:qFormat/>
    <w:rsid w:val="006e7af1"/>
    <w:rPr>
      <w:rFonts w:ascii="Ecofont_Spranq_eco_Sans" w:hAnsi="Ecofont_Spranq_eco_Sans" w:eastAsia="Calibri" w:cs="Tahoma"/>
      <w:i/>
      <w:iCs/>
      <w:color w:val="000000"/>
      <w:sz w:val="20"/>
      <w:szCs w:val="24"/>
      <w:shd w:fill="FFFFCC" w:val="clear"/>
    </w:rPr>
  </w:style>
  <w:style w:type="character" w:styleId="Annotationreference">
    <w:name w:val="annotation reference"/>
    <w:basedOn w:val="DefaultParagraphFont"/>
    <w:uiPriority w:val="99"/>
    <w:unhideWhenUsed/>
    <w:qFormat/>
    <w:rsid w:val="006e7af1"/>
    <w:rPr>
      <w:sz w:val="16"/>
      <w:szCs w:val="16"/>
    </w:rPr>
  </w:style>
  <w:style w:type="character" w:styleId="Citao2Char" w:customStyle="1">
    <w:name w:val="citação 2 Char"/>
    <w:basedOn w:val="CitaoChar"/>
    <w:link w:val="Citao2"/>
    <w:qFormat/>
    <w:rsid w:val="00791789"/>
    <w:rPr>
      <w:rFonts w:ascii="Arial" w:hAnsi="Arial" w:eastAsia="Calibri" w:cs="Tahoma"/>
      <w:i/>
      <w:iCs/>
      <w:color w:val="000000"/>
      <w:sz w:val="20"/>
      <w:szCs w:val="20"/>
      <w:shd w:fill="FFFFCC" w:val="clear"/>
    </w:rPr>
  </w:style>
  <w:style w:type="character" w:styleId="Nivel1Char" w:customStyle="1">
    <w:name w:val="Nivel1 Char"/>
    <w:basedOn w:val="DefaultParagraphFont"/>
    <w:link w:val="Nivel1"/>
    <w:qFormat/>
    <w:locked/>
    <w:rsid w:val="00192fa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192fa4"/>
    <w:rPr>
      <w:rFonts w:ascii="Ecofont_Spranq_eco_Sans" w:hAnsi="Ecofont_Spranq_eco_Sans" w:eastAsia="Arial Unicode MS" w:cs="Times New Roman"/>
      <w:sz w:val="20"/>
      <w:szCs w:val="20"/>
      <w:lang w:eastAsia="pt-BR"/>
    </w:rPr>
  </w:style>
  <w:style w:type="character" w:styleId="AssuntodocomentrioChar" w:customStyle="1">
    <w:name w:val="Assunto do comentário Char"/>
    <w:basedOn w:val="TextodecomentrioChar"/>
    <w:link w:val="Annotationsubject"/>
    <w:uiPriority w:val="99"/>
    <w:semiHidden/>
    <w:qFormat/>
    <w:rsid w:val="00fc5048"/>
    <w:rPr>
      <w:b/>
      <w:bCs/>
      <w:sz w:val="20"/>
      <w:szCs w:val="20"/>
    </w:rPr>
  </w:style>
  <w:style w:type="character" w:styleId="LinkdaInternet">
    <w:name w:val="Link da Internet"/>
    <w:basedOn w:val="DefaultParagraphFont"/>
    <w:uiPriority w:val="99"/>
    <w:unhideWhenUsed/>
    <w:rsid w:val="004b3e88"/>
    <w:rPr>
      <w:color w:val="0563C1" w:themeColor="hyperlink"/>
      <w:u w:val="single"/>
    </w:rPr>
  </w:style>
  <w:style w:type="character" w:styleId="MenoPendente1" w:customStyle="1">
    <w:name w:val="Menção Pendente1"/>
    <w:basedOn w:val="DefaultParagraphFont"/>
    <w:uiPriority w:val="99"/>
    <w:semiHidden/>
    <w:unhideWhenUsed/>
    <w:qFormat/>
    <w:rsid w:val="004b3e88"/>
    <w:rPr>
      <w:color w:val="605E5C"/>
      <w:shd w:fill="E1DFDD" w:val="clear"/>
    </w:rPr>
  </w:style>
  <w:style w:type="character" w:styleId="TextodebaloChar" w:customStyle="1">
    <w:name w:val="Texto de balão Char"/>
    <w:basedOn w:val="DefaultParagraphFont"/>
    <w:link w:val="BalloonText"/>
    <w:uiPriority w:val="99"/>
    <w:semiHidden/>
    <w:qFormat/>
    <w:rsid w:val="007d1c84"/>
    <w:rPr>
      <w:rFonts w:ascii="Segoe UI" w:hAnsi="Segoe UI" w:cs="Segoe UI"/>
      <w:sz w:val="18"/>
      <w:szCs w:val="18"/>
    </w:rPr>
  </w:style>
  <w:style w:type="character" w:styleId="Nvel2OpcionalChar" w:customStyle="1">
    <w:name w:val="Nível 2 Opcional Char"/>
    <w:basedOn w:val="DefaultParagraphFont"/>
    <w:link w:val="Nvel2Opcional"/>
    <w:qFormat/>
    <w:locked/>
    <w:rsid w:val="00921e42"/>
    <w:rPr>
      <w:rFonts w:ascii="Arial" w:hAnsi="Arial" w:cs="Arial"/>
      <w:i/>
      <w:color w:val="FF0000"/>
    </w:rPr>
  </w:style>
  <w:style w:type="character" w:styleId="Nvel3OpcionalChar" w:customStyle="1">
    <w:name w:val="Nível 3 Opcional Char"/>
    <w:basedOn w:val="DefaultParagraphFont"/>
    <w:link w:val="Nvel3Opcional"/>
    <w:qFormat/>
    <w:locked/>
    <w:rsid w:val="00921e42"/>
    <w:rPr>
      <w:rFonts w:ascii="Arial" w:hAnsi="Arial" w:cs="Arial"/>
      <w:i/>
      <w:iCs/>
      <w:color w:val="FF0000"/>
    </w:rPr>
  </w:style>
  <w:style w:type="character" w:styleId="Nfaseforte">
    <w:name w:val="Ênfase forte"/>
    <w:qFormat/>
    <w:rPr>
      <w:b/>
      <w:bCs/>
    </w:rPr>
  </w:style>
  <w:style w:type="character" w:styleId="Fontepargpadro">
    <w:name w:val="Fonte parág. padrão"/>
    <w:qFormat/>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uiPriority w:val="34"/>
    <w:qFormat/>
    <w:rsid w:val="009b32a8"/>
    <w:pPr>
      <w:spacing w:before="0" w:after="16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397ef2"/>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397ef2"/>
    <w:pPr>
      <w:tabs>
        <w:tab w:val="clear" w:pos="708"/>
        <w:tab w:val="center" w:pos="4252" w:leader="none"/>
        <w:tab w:val="right" w:pos="8504" w:leader="none"/>
      </w:tabs>
      <w:spacing w:lineRule="auto" w:line="240" w:before="0" w:after="0"/>
    </w:pPr>
    <w:rPr/>
  </w:style>
  <w:style w:type="paragraph" w:styleId="GradeColoridanfase11" w:customStyle="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imes New Roman"/>
      <w:i/>
      <w:iCs/>
      <w:color w:val="000000"/>
      <w:sz w:val="20"/>
      <w:szCs w:val="24"/>
      <w:lang w:val="x-none"/>
    </w:rPr>
  </w:style>
  <w:style w:type="paragraph" w:styleId="Nivel01Titulo" w:customStyle="1">
    <w:name w:val="Nivel_01_Titulo"/>
    <w:basedOn w:val="Ttulo1"/>
    <w:next w:val="Normal"/>
    <w:link w:val="Nivel01TituloChar"/>
    <w:qFormat/>
    <w:rsid w:val="00d96ec9"/>
    <w:pPr>
      <w:tabs>
        <w:tab w:val="clear" w:pos="708"/>
        <w:tab w:val="left" w:pos="567" w:leader="none"/>
      </w:tabs>
      <w:spacing w:lineRule="auto" w:line="240"/>
      <w:jc w:val="both"/>
    </w:pPr>
    <w:rPr>
      <w:rFonts w:ascii="Arial" w:hAnsi="Arial" w:cs="Times New Roman"/>
      <w:b/>
      <w:bCs/>
      <w:sz w:val="20"/>
      <w:szCs w:val="20"/>
      <w:lang w:eastAsia="pt-BR"/>
    </w:rPr>
  </w:style>
  <w:style w:type="paragraph" w:styleId="Nivel1" w:customStyle="1">
    <w:name w:val="Nivel1"/>
    <w:basedOn w:val="Ttulo1"/>
    <w:next w:val="Normal"/>
    <w:link w:val="Nivel1Char"/>
    <w:qFormat/>
    <w:rsid w:val="00bd3081"/>
    <w:pPr>
      <w:spacing w:lineRule="auto" w:line="276" w:before="480" w:after="120"/>
      <w:jc w:val="both"/>
    </w:pPr>
    <w:rPr>
      <w:rFonts w:ascii="Arial" w:hAnsi="Arial" w:cs="Arial"/>
      <w:b/>
      <w:color w:val="000000"/>
    </w:rPr>
  </w:style>
  <w:style w:type="paragraph" w:styleId="Annotationtext">
    <w:name w:val="annotation text"/>
    <w:basedOn w:val="Normal"/>
    <w:link w:val="TextodecomentrioChar"/>
    <w:uiPriority w:val="99"/>
    <w:unhideWhenUsed/>
    <w:qFormat/>
    <w:rsid w:val="006e7af1"/>
    <w:pPr>
      <w:spacing w:lineRule="auto" w:line="240"/>
    </w:pPr>
    <w:rPr>
      <w:sz w:val="20"/>
      <w:szCs w:val="20"/>
    </w:rPr>
  </w:style>
  <w:style w:type="paragraph" w:styleId="Quote">
    <w:name w:val="Quote"/>
    <w:basedOn w:val="Normal"/>
    <w:link w:val="CitaoChar"/>
    <w:qFormat/>
    <w:rsid w:val="006e7af1"/>
    <w:pPr>
      <w:keepNext w:val="true"/>
      <w:pBdr>
        <w:top w:val="single" w:sz="4" w:space="0" w:color="1F497D"/>
        <w:left w:val="single" w:sz="4" w:space="0" w:color="1F497D"/>
        <w:bottom w:val="single" w:sz="4" w:space="0" w:color="1F497D"/>
        <w:right w:val="single" w:sz="4" w:space="0" w:color="1F497D"/>
      </w:pBdr>
      <w:shd w:val="clear" w:color="auto" w:fill="FFFFCC"/>
      <w:tabs>
        <w:tab w:val="left" w:pos="708" w:leader="none"/>
      </w:tabs>
      <w:suppressAutoHyphens w:val="true"/>
      <w:overflowPunct w:val="true"/>
      <w:spacing w:lineRule="auto" w:line="240" w:before="120" w:after="0"/>
      <w:jc w:val="both"/>
    </w:pPr>
    <w:rPr>
      <w:rFonts w:ascii="Ecofont_Spranq_eco_Sans" w:hAnsi="Ecofont_Spranq_eco_Sans" w:eastAsia="Calibri" w:cs="Tahoma"/>
      <w:i/>
      <w:iCs/>
      <w:color w:val="000000"/>
      <w:sz w:val="20"/>
      <w:szCs w:val="24"/>
    </w:rPr>
  </w:style>
  <w:style w:type="paragraph" w:styleId="Citao2" w:customStyle="1">
    <w:name w:val="citação 2"/>
    <w:basedOn w:val="Quote"/>
    <w:link w:val="Citao2Char"/>
    <w:qFormat/>
    <w:rsid w:val="00791789"/>
    <w:pPr>
      <w:keepNext w:val="false"/>
      <w:pBdr>
        <w:top w:val="single" w:sz="4" w:space="1" w:color="1F497D"/>
        <w:left w:val="single" w:sz="4" w:space="4" w:color="1F497D"/>
        <w:bottom w:val="single" w:sz="4" w:space="1" w:color="1F497D"/>
        <w:right w:val="single" w:sz="4" w:space="4" w:color="1F497D"/>
      </w:pBdr>
      <w:shd w:val="clear" w:fill="FFFFCC"/>
      <w:tabs>
        <w:tab w:val="clear" w:pos="708"/>
      </w:tabs>
      <w:suppressAutoHyphens w:val="false"/>
      <w:overflowPunct w:val="false"/>
    </w:pPr>
    <w:rPr>
      <w:rFonts w:ascii="Arial" w:hAnsi="Arial"/>
      <w:szCs w:val="20"/>
    </w:rPr>
  </w:style>
  <w:style w:type="paragraph" w:styleId="PargrafodaLista1" w:customStyle="1">
    <w:name w:val="Parágrafo da Lista1"/>
    <w:basedOn w:val="Normal"/>
    <w:qFormat/>
    <w:rsid w:val="00192fa4"/>
    <w:pPr>
      <w:spacing w:lineRule="auto" w:line="240" w:before="0" w:after="0"/>
      <w:ind w:left="720" w:hanging="0"/>
    </w:pPr>
    <w:rPr>
      <w:rFonts w:ascii="Ecofont_Spranq_eco_Sans" w:hAnsi="Ecofont_Spranq_eco_Sans" w:eastAsia="Times New Roman" w:cs="Ecofont_Spranq_eco_Sans"/>
      <w:sz w:val="24"/>
      <w:szCs w:val="24"/>
      <w:lang w:eastAsia="pt-BR"/>
    </w:rPr>
  </w:style>
  <w:style w:type="paragraph" w:styleId="Nivel2" w:customStyle="1">
    <w:name w:val="Nivel 2"/>
    <w:link w:val="Nivel2Char"/>
    <w:qFormat/>
    <w:rsid w:val="00192fa4"/>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192fa4"/>
    <w:pPr>
      <w:tabs>
        <w:tab w:val="clear" w:pos="708"/>
        <w:tab w:val="left" w:pos="360" w:leader="none"/>
      </w:tabs>
      <w:ind w:left="644" w:hanging="432"/>
    </w:pPr>
    <w:rPr>
      <w:rFonts w:cs="Arial"/>
      <w:b/>
    </w:rPr>
  </w:style>
  <w:style w:type="paragraph" w:styleId="Nivel3" w:customStyle="1">
    <w:name w:val="Nivel 3"/>
    <w:basedOn w:val="Nivel2"/>
    <w:qFormat/>
    <w:rsid w:val="00192fa4"/>
    <w:pPr>
      <w:tabs>
        <w:tab w:val="clear" w:pos="708"/>
        <w:tab w:val="left" w:pos="360" w:leader="none"/>
      </w:tabs>
      <w:ind w:left="1922" w:hanging="0"/>
    </w:pPr>
    <w:rPr>
      <w:rFonts w:cs="Arial"/>
      <w:color w:val="000000"/>
    </w:rPr>
  </w:style>
  <w:style w:type="paragraph" w:styleId="Nivel4" w:customStyle="1">
    <w:name w:val="Nivel 4"/>
    <w:basedOn w:val="Nivel3"/>
    <w:qFormat/>
    <w:rsid w:val="00192fa4"/>
    <w:pPr>
      <w:ind w:left="2491" w:hanging="0"/>
    </w:pPr>
    <w:rPr>
      <w:color w:val="auto"/>
    </w:rPr>
  </w:style>
  <w:style w:type="paragraph" w:styleId="Nivel5" w:customStyle="1">
    <w:name w:val="Nivel 5"/>
    <w:basedOn w:val="Nivel4"/>
    <w:qFormat/>
    <w:rsid w:val="00192fa4"/>
    <w:pPr>
      <w:ind w:left="3485" w:hanging="0"/>
    </w:pPr>
    <w:rPr/>
  </w:style>
  <w:style w:type="paragraph" w:styleId="Annotationsubject">
    <w:name w:val="annotation subject"/>
    <w:basedOn w:val="Annotationtext"/>
    <w:next w:val="Annotationtext"/>
    <w:link w:val="AssuntodocomentrioChar"/>
    <w:uiPriority w:val="99"/>
    <w:semiHidden/>
    <w:unhideWhenUsed/>
    <w:qFormat/>
    <w:rsid w:val="00fc5048"/>
    <w:pPr/>
    <w:rPr>
      <w:b/>
      <w:bCs/>
    </w:rPr>
  </w:style>
  <w:style w:type="paragraph" w:styleId="BalloonText">
    <w:name w:val="Balloon Text"/>
    <w:basedOn w:val="Normal"/>
    <w:link w:val="TextodebaloChar"/>
    <w:uiPriority w:val="99"/>
    <w:semiHidden/>
    <w:unhideWhenUsed/>
    <w:qFormat/>
    <w:rsid w:val="007d1c84"/>
    <w:pPr>
      <w:spacing w:lineRule="auto" w:line="240" w:before="0" w:after="0"/>
    </w:pPr>
    <w:rPr>
      <w:rFonts w:ascii="Segoe UI" w:hAnsi="Segoe UI" w:cs="Segoe UI"/>
      <w:sz w:val="18"/>
      <w:szCs w:val="18"/>
    </w:rPr>
  </w:style>
  <w:style w:type="paragraph" w:styleId="SombreamentoMdio1nfase31" w:customStyle="1">
    <w:name w:val="Sombreamento Médio 1 - Ênfase 31"/>
    <w:basedOn w:val="Normal"/>
    <w:next w:val="Normal"/>
    <w:qFormat/>
    <w:rsid w:val="00921e42"/>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Nvel2Opcional" w:customStyle="1">
    <w:name w:val="Nível 2 Opcional"/>
    <w:basedOn w:val="Nivel2"/>
    <w:link w:val="Nvel2OpcionalChar"/>
    <w:qFormat/>
    <w:rsid w:val="00921e42"/>
    <w:pPr>
      <w:ind w:left="716" w:hanging="432"/>
    </w:pPr>
    <w:rPr>
      <w:rFonts w:ascii="Arial" w:hAnsi="Arial" w:eastAsia="Calibri" w:cs="Arial" w:eastAsiaTheme="minorHAnsi"/>
      <w:i/>
      <w:color w:val="FF0000"/>
      <w:sz w:val="22"/>
      <w:szCs w:val="22"/>
      <w:lang w:eastAsia="en-US"/>
    </w:rPr>
  </w:style>
  <w:style w:type="paragraph" w:styleId="Nvel3Opcional" w:customStyle="1">
    <w:name w:val="Nível 3 Opcional"/>
    <w:basedOn w:val="Nivel3"/>
    <w:link w:val="Nvel3OpcionalChar"/>
    <w:qFormat/>
    <w:rsid w:val="00921e42"/>
    <w:pPr>
      <w:ind w:left="567" w:hanging="0"/>
    </w:pPr>
    <w:rPr>
      <w:rFonts w:ascii="Arial" w:hAnsi="Arial" w:eastAsia="Calibri" w:eastAsiaTheme="minorHAnsi"/>
      <w:i/>
      <w:iCs/>
      <w:color w:val="FF0000"/>
      <w:sz w:val="22"/>
      <w:szCs w:val="22"/>
      <w:lang w:eastAsia="en-US"/>
    </w:rPr>
  </w:style>
  <w:style w:type="paragraph" w:styleId="Revision">
    <w:name w:val="Revision"/>
    <w:uiPriority w:val="99"/>
    <w:semiHidden/>
    <w:qFormat/>
    <w:rsid w:val="00d031db"/>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9b3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87B08-AF6B-4E57-8DCB-DB2F9D7D4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Application>LibreOffice/6.4.0.3$Windows_X86_64 LibreOffice_project/b0a288ab3d2d4774cb44b62f04d5d28733ac6df8</Application>
  <Pages>11</Pages>
  <Words>4342</Words>
  <Characters>24854</Characters>
  <CharactersWithSpaces>28899</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2022-07-14T22:11:00Z</dcterms:created>
  <dc:creator>Hugo Sales</dc:creator>
  <dc:description/>
  <dc:language>pt-BR</dc:language>
  <cp:lastModifiedBy/>
  <dcterms:modified xsi:type="dcterms:W3CDTF">2023-11-27T13:56:25Z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ies>
</file>